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tabs>
          <w:tab w:val="clear" w:leader="none" w:pos="4536"/>
          <w:tab w:val="clear" w:leader="none" w:pos="9072"/>
        </w:tabs>
        <w:spacing/>
        <w:ind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48"/>
        <w:pBdr/>
        <w:spacing/>
        <w:ind/>
        <w:rPr/>
      </w:pPr>
      <w:r>
        <w:t xml:space="preserve">Obec Horní Kněžeklady</w:t>
      </w:r>
      <w:r>
        <w:br/>
        <w:t xml:space="preserve">Zastupitelstvo obce Horní Kněžeklady</w:t>
      </w:r>
      <w:r/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Horní Kněžeklady,</w:t>
      </w:r>
      <w:r>
        <w:rPr>
          <w:rFonts w:ascii="Arial" w:hAnsi="Arial" w:cs="Arial"/>
          <w:b/>
        </w:rPr>
      </w:r>
    </w:p>
    <w:p>
      <w:pPr>
        <w:pStyle w:val="742"/>
        <w:pBdr/>
        <w:spacing w:line="240" w:lineRule="auto"/>
        <w:ind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stanovuje</w:t>
      </w:r>
      <w:r>
        <w:rPr>
          <w:rFonts w:ascii="Arial" w:hAnsi="Arial" w:cs="Arial"/>
          <w:b/>
          <w:bCs/>
          <w:sz w:val="22"/>
          <w:szCs w:val="22"/>
        </w:rPr>
        <w:t xml:space="preserve"> úhrada vodného ve dvousložkové formě.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33"/>
        <w:pBdr/>
        <w:spacing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Horní Kněžeklady se na svém zasedání dne </w:t>
      </w:r>
      <w:r>
        <w:rPr>
          <w:rFonts w:ascii="Arial" w:hAnsi="Arial" w:cs="Arial"/>
          <w:b/>
          <w:sz w:val="22"/>
          <w:szCs w:val="22"/>
        </w:rPr>
        <w:t xml:space="preserve">20. 11. 2023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usnesením</w:t>
      </w:r>
      <w:r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 xml:space="preserve">133/12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o vodovodech a kanalizacích pro veře</w:t>
      </w:r>
      <w:r>
        <w:rPr>
          <w:rFonts w:ascii="Arial" w:hAnsi="Arial" w:cs="Arial"/>
          <w:sz w:val="22"/>
          <w:szCs w:val="22"/>
        </w:rPr>
        <w:t xml:space="preserve">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 w:after="0" w:before="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1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Stanovení úhrady vodného ve dvousložkové formě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účinnosti této obecně závazné vyhlášky se na území obce stanoví úhrada vodného ve dvousložkové formě.</w:t>
      </w:r>
      <w:r>
        <w:rPr>
          <w:rStyle w:val="726"/>
          <w:rFonts w:ascii="Symbol" w:hAnsi="Symbol" w:eastAsia="Symbol" w:cs="Symbol"/>
          <w:sz w:val="22"/>
          <w:szCs w:val="22"/>
        </w:rPr>
        <w:footnoteReference w:customMarkFollows="1" w:id="2"/>
        <w:t xml:space="preserve"></w:t>
      </w:r>
      <w:r>
        <w:rPr>
          <w:rStyle w:val="726"/>
          <w:rFonts w:ascii="Symbol" w:hAnsi="Symbol" w:eastAsia="Symbol" w:cs="Symbol"/>
          <w:sz w:val="22"/>
          <w:szCs w:val="22"/>
        </w:rPr>
        <w:t xml:space="preserve">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2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0"/>
        <w:pBdr/>
        <w:spacing w:after="0" w:before="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druhu pevné složky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 w:after="0" w:before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kapacity vodoměru [§ 32 odst. 1 písm. a)], vyhlášky č. 428/2001 Sb., kterou se provádí zákon č. 274/2001 Sb., o vodovodech a kanalizacích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.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 w:after="0" w:before="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</w:t>
      </w:r>
      <w:r>
        <w:rPr>
          <w:rFonts w:ascii="Arial" w:hAnsi="Arial" w:cs="Arial"/>
          <w:sz w:val="22"/>
          <w:szCs w:val="22"/>
        </w:rPr>
      </w:r>
    </w:p>
    <w:p>
      <w:pPr>
        <w:pStyle w:val="724"/>
        <w:pBdr/>
        <w:spacing/>
        <w:ind/>
        <w:rPr/>
      </w:pPr>
      <w:r>
        <w:t xml:space="preserve">Přechodné a zrušovací ustanovení</w:t>
      </w:r>
      <w:r/>
    </w:p>
    <w:p>
      <w:pPr>
        <w:pStyle w:val="749"/>
        <w:numPr>
          <w:ilvl w:val="0"/>
          <w:numId w:val="4"/>
        </w:numPr>
        <w:pBdr/>
        <w:spacing/>
        <w:ind/>
        <w:rPr/>
      </w:pPr>
      <w:r>
        <w:t xml:space="preserve">Poplatkové povinnosti vzniklé před nabytím účinnosti této vyhlášky se posuzují podle dosavadních právních předpisů.</w:t>
      </w:r>
      <w:r/>
    </w:p>
    <w:p>
      <w:pPr>
        <w:pStyle w:val="749"/>
        <w:numPr>
          <w:ilvl w:val="0"/>
          <w:numId w:val="5"/>
        </w:numPr>
        <w:pBdr/>
        <w:spacing/>
        <w:ind/>
        <w:rPr/>
      </w:pPr>
      <w:r>
        <w:t xml:space="preserve">Zrušuje se obecně závazná vyhláška č. 1/2022, Obecně závazná vyhláška obce Horní Kněžeklady č. 1/2022, kterou se stanovuje úhrada vodného ve dvousložkové formě, ze dne 15.7.2022.</w:t>
      </w:r>
      <w:r/>
    </w:p>
    <w:p>
      <w:pPr>
        <w:pStyle w:val="724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4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4"/>
        <w:pBdr/>
        <w:spacing/>
        <w:ind/>
        <w:rPr/>
      </w:pPr>
      <w:r>
        <w:rPr>
          <w:sz w:val="22"/>
          <w:szCs w:val="22"/>
        </w:rPr>
        <w:t xml:space="preserve">Čl. 4</w:t>
      </w:r>
      <w:r>
        <w:br/>
        <w:t xml:space="preserve">Účinnost</w:t>
      </w:r>
      <w:r/>
    </w:p>
    <w:p>
      <w:pPr>
        <w:pStyle w:val="749"/>
        <w:pBdr/>
        <w:spacing/>
        <w:ind/>
        <w:rPr/>
      </w:pPr>
      <w:r>
        <w:t xml:space="preserve">Tato vyhláška nabývá účinnosti dnem 1. ledna 2024.</w:t>
      </w:r>
      <w:r/>
    </w:p>
    <w:p>
      <w:pPr>
        <w:pStyle w:val="749"/>
        <w:pBdr/>
        <w:spacing/>
        <w:ind/>
        <w:rPr/>
      </w:pPr>
      <w:r/>
      <w:r/>
    </w:p>
    <w:p>
      <w:pPr>
        <w:pStyle w:val="749"/>
        <w:pBdr/>
        <w:spacing/>
        <w:ind/>
        <w:rPr/>
      </w:pPr>
      <w:r/>
      <w:r/>
    </w:p>
    <w:p>
      <w:pPr>
        <w:pStyle w:val="749"/>
        <w:pBdr/>
        <w:spacing/>
        <w:ind/>
        <w:rPr/>
      </w:pPr>
      <w:r/>
      <w:r/>
    </w:p>
    <w:tbl>
      <w:tblPr>
        <w:tblInd w:w="100" w:type="dxa"/>
        <w:tblW w:w="9641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shd w:val="clear" w:color="auto" w:fill="auto"/>
            <w:tcBorders/>
            <w:tcW w:w="4820" w:type="dxa"/>
            <w:vAlign w:val="bottom"/>
            <w:textDirection w:val="lrTb"/>
            <w:noWrap w:val="false"/>
          </w:tcPr>
          <w:p>
            <w:pPr>
              <w:pStyle w:val="750"/>
              <w:pBdr/>
              <w:spacing/>
              <w:ind/>
              <w:rPr/>
            </w:pPr>
            <w:r>
              <w:t xml:space="preserve">Josef Drn v. r.</w:t>
            </w:r>
            <w:r>
              <w:br/>
              <w:t xml:space="preserve"> starosta</w:t>
            </w:r>
            <w:r/>
          </w:p>
        </w:tc>
        <w:tc>
          <w:tcPr>
            <w:shd w:val="clear" w:color="auto" w:fill="auto"/>
            <w:tcBorders/>
            <w:tcW w:w="4820" w:type="dxa"/>
            <w:vAlign w:val="bottom"/>
            <w:textDirection w:val="lrTb"/>
            <w:noWrap w:val="false"/>
          </w:tcPr>
          <w:p>
            <w:pPr>
              <w:pStyle w:val="750"/>
              <w:pBdr/>
              <w:spacing/>
              <w:ind/>
              <w:rPr/>
            </w:pPr>
            <w:r>
              <w:t xml:space="preserve">Jitka Králová v. r.</w:t>
            </w:r>
            <w:r>
              <w:br/>
              <w:t xml:space="preserve"> místostarostka</w:t>
            </w:r>
            <w:r/>
          </w:p>
        </w:tc>
      </w:tr>
    </w:tbl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1321"/>
          <w:tab w:val="left" w:leader="none" w:pos="7380"/>
        </w:tabs>
        <w:spacing w:line="240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1321"/>
          <w:tab w:val="left" w:leader="none" w:pos="7380"/>
        </w:tabs>
        <w:spacing w:line="240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1321"/>
          <w:tab w:val="left" w:leader="none" w:pos="7380"/>
        </w:tabs>
        <w:spacing w:line="240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1321"/>
          <w:tab w:val="left" w:leader="none" w:pos="7380"/>
        </w:tabs>
        <w:spacing w:line="240" w:lineRule="atLeast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</w:r>
    </w:p>
    <w:sectPr>
      <w:footnotePr/>
      <w:endnotePr/>
      <w:type w:val="nextPage"/>
      <w:pgSz w:h="16838" w:orient="portrait" w:w="11906"/>
      <w:pgMar w:top="1417" w:right="1417" w:bottom="1417" w:left="1417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ongti SC">
    <w:panose1 w:val="020B0809030403020204"/>
  </w:font>
  <w:font w:name="Tahoma">
    <w:panose1 w:val="020B0604030504040204"/>
  </w:font>
  <w:font w:name="Lucida Sans">
    <w:panose1 w:val="020B0604030504040204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PingFang SC">
    <w:panose1 w:val="020B080903040302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741"/>
        <w:pBdr/>
        <w:spacing/>
        <w:ind w:hanging="218" w:left="360"/>
        <w:rPr/>
      </w:pPr>
      <w:r>
        <w:rPr>
          <w:rStyle w:val="725"/>
        </w:rPr>
        <w:t xml:space="preserve"></w:t>
      </w:r>
      <w:r>
        <w:rPr>
          <w:rStyle w:val="725"/>
        </w:rPr>
        <w:t xml:space="preserve"></w:t>
      </w:r>
      <w:r>
        <w:tab/>
        <w:t xml:space="preserve"> § 20 odst. 3 zákona č. 274/2001 Sb., o vodovodech a kanalizacích pro veřejnou potřebu a o změně některých zákonů (zákon o vodovodech a kanalizacích), ve znění pozdějších předpisů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45193"/>
    <w:lvl w:ilvl="0">
      <w:isLgl w:val="false"/>
      <w:lvlJc w:val="left"/>
      <w:lvlText w:val="(%1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(%3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(%5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(%6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(%7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(%8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(%9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</w:abstractNum>
  <w:abstractNum w:abstractNumId="1">
    <w:nsid w:val="5E4F3BF8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602714DB"/>
    <w:lvl w:ilvl="0">
      <w:isLgl w:val="false"/>
      <w:lvlJc w:val="left"/>
      <w:lvlText w:val="(%1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(%3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(%5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(%6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(%7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(%8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(%9)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9"/>
    <w:next w:val="71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9"/>
    <w:next w:val="71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9"/>
    <w:next w:val="71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9"/>
    <w:next w:val="71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1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1"/>
    <w:link w:val="7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9"/>
    <w:next w:val="71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9"/>
    <w:next w:val="71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9"/>
    <w:next w:val="71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1"/>
    <w:link w:val="740"/>
    <w:uiPriority w:val="99"/>
    <w:pPr>
      <w:pBdr/>
      <w:spacing/>
      <w:ind/>
    </w:pPr>
  </w:style>
  <w:style w:type="paragraph" w:styleId="178">
    <w:name w:val="Footer"/>
    <w:basedOn w:val="71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21"/>
    <w:link w:val="178"/>
    <w:uiPriority w:val="99"/>
    <w:pPr>
      <w:pBdr/>
      <w:spacing/>
      <w:ind/>
    </w:pPr>
  </w:style>
  <w:style w:type="character" w:styleId="182">
    <w:name w:val="Footnote Text Char"/>
    <w:basedOn w:val="721"/>
    <w:link w:val="741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1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Hyperlink"/>
    <w:basedOn w:val="7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190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191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192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193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194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195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196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197">
    <w:name w:val="toc 9"/>
    <w:basedOn w:val="719"/>
    <w:next w:val="71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pBdr/>
      <w:spacing/>
      <w:ind/>
    </w:pPr>
    <w:rPr>
      <w:sz w:val="24"/>
      <w:szCs w:val="24"/>
    </w:rPr>
  </w:style>
  <w:style w:type="paragraph" w:styleId="720">
    <w:name w:val="Heading 1"/>
    <w:basedOn w:val="719"/>
    <w:next w:val="719"/>
    <w:link w:val="728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paragraph" w:styleId="724" w:customStyle="1">
    <w:name w:val="Nadpis 21"/>
    <w:basedOn w:val="719"/>
    <w:next w:val="719"/>
    <w:qFormat/>
    <w:pPr>
      <w:keepNext w:val="true"/>
      <w:pBdr/>
      <w:spacing w:after="120" w:before="360" w:line="276" w:lineRule="auto"/>
      <w:ind/>
      <w:jc w:val="center"/>
      <w:outlineLvl w:val="1"/>
    </w:pPr>
    <w:rPr>
      <w:rFonts w:ascii="Arial" w:hAnsi="Arial" w:eastAsia="PingFang SC" w:cs="Arial Unicode MS"/>
      <w:b/>
      <w:bCs/>
      <w:lang w:eastAsia="zh-CN" w:bidi="hi-IN"/>
    </w:rPr>
  </w:style>
  <w:style w:type="character" w:styleId="725" w:customStyle="1">
    <w:name w:val="Znaky pro poznámku pod čarou"/>
    <w:semiHidden/>
    <w:qFormat/>
    <w:pPr>
      <w:pBdr/>
      <w:spacing/>
      <w:ind/>
    </w:pPr>
    <w:rPr>
      <w:vertAlign w:val="superscript"/>
    </w:rPr>
  </w:style>
  <w:style w:type="character" w:styleId="726">
    <w:name w:val="footnote reference"/>
    <w:pPr>
      <w:pBdr/>
      <w:spacing/>
      <w:ind/>
    </w:pPr>
    <w:rPr>
      <w:vertAlign w:val="superscript"/>
    </w:rPr>
  </w:style>
  <w:style w:type="character" w:styleId="727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728" w:customStyle="1">
    <w:name w:val="Nadpis 1 Char"/>
    <w:link w:val="720"/>
    <w:uiPriority w:val="9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729" w:customStyle="1">
    <w:name w:val="Název Char"/>
    <w:basedOn w:val="721"/>
    <w:link w:val="748"/>
    <w:qFormat/>
    <w:pPr>
      <w:pBdr/>
      <w:spacing/>
      <w:ind/>
    </w:pPr>
    <w:rPr>
      <w:rFonts w:ascii="Arial" w:hAnsi="Arial" w:eastAsia="PingFang SC" w:cs="Arial Unicode MS"/>
      <w:b/>
      <w:bCs/>
      <w:sz w:val="24"/>
      <w:szCs w:val="24"/>
      <w:lang w:eastAsia="zh-CN" w:bidi="hi-IN"/>
    </w:rPr>
  </w:style>
  <w:style w:type="character" w:styleId="730">
    <w:name w:val="endnote reference"/>
    <w:pPr>
      <w:pBdr/>
      <w:spacing/>
      <w:ind/>
    </w:pPr>
    <w:rPr>
      <w:vertAlign w:val="superscript"/>
    </w:rPr>
  </w:style>
  <w:style w:type="character" w:styleId="731" w:customStyle="1">
    <w:name w:val="Znaky pro vysvětlivky"/>
    <w:qFormat/>
    <w:pPr>
      <w:pBdr/>
      <w:spacing/>
      <w:ind/>
    </w:pPr>
  </w:style>
  <w:style w:type="paragraph" w:styleId="732" w:customStyle="1">
    <w:name w:val="Nadpis"/>
    <w:basedOn w:val="719"/>
    <w:next w:val="73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33">
    <w:name w:val="Body Text"/>
    <w:basedOn w:val="719"/>
    <w:pPr>
      <w:pBdr/>
      <w:spacing w:after="120"/>
      <w:ind/>
    </w:pPr>
    <w:rPr>
      <w:szCs w:val="20"/>
    </w:rPr>
  </w:style>
  <w:style w:type="paragraph" w:styleId="734">
    <w:name w:val="List"/>
    <w:basedOn w:val="733"/>
    <w:pPr>
      <w:pBdr/>
      <w:spacing/>
      <w:ind/>
    </w:pPr>
    <w:rPr>
      <w:rFonts w:cs="Lucida Sans"/>
    </w:rPr>
  </w:style>
  <w:style w:type="paragraph" w:styleId="735">
    <w:name w:val="Caption"/>
    <w:basedOn w:val="719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736" w:customStyle="1">
    <w:name w:val="Rejstřík"/>
    <w:basedOn w:val="719"/>
    <w:qFormat/>
    <w:pPr>
      <w:suppressLineNumbers w:val="true"/>
      <w:pBdr/>
      <w:spacing/>
      <w:ind/>
    </w:pPr>
    <w:rPr>
      <w:rFonts w:cs="Lucida Sans"/>
    </w:rPr>
  </w:style>
  <w:style w:type="paragraph" w:styleId="737">
    <w:name w:val="Body Text Indent"/>
    <w:basedOn w:val="719"/>
    <w:pPr>
      <w:pBdr/>
      <w:spacing/>
      <w:ind w:firstLine="357" w:left="708"/>
      <w:jc w:val="both"/>
    </w:pPr>
    <w:rPr>
      <w:szCs w:val="20"/>
    </w:rPr>
  </w:style>
  <w:style w:type="paragraph" w:styleId="738">
    <w:name w:val="Body Text Indent 2"/>
    <w:basedOn w:val="719"/>
    <w:qFormat/>
    <w:pPr>
      <w:pBdr/>
      <w:spacing/>
      <w:ind w:firstLine="360" w:left="708"/>
      <w:jc w:val="both"/>
    </w:pPr>
    <w:rPr>
      <w:bCs/>
      <w:szCs w:val="20"/>
    </w:rPr>
  </w:style>
  <w:style w:type="paragraph" w:styleId="739" w:customStyle="1">
    <w:name w:val="Záhlaví a zápatí"/>
    <w:basedOn w:val="719"/>
    <w:qFormat/>
    <w:pPr>
      <w:pBdr/>
      <w:spacing/>
      <w:ind/>
    </w:pPr>
  </w:style>
  <w:style w:type="paragraph" w:styleId="740">
    <w:name w:val="Header"/>
    <w:basedOn w:val="719"/>
    <w:pPr>
      <w:pBdr/>
      <w:tabs>
        <w:tab w:val="center" w:leader="none" w:pos="4536"/>
        <w:tab w:val="right" w:leader="none" w:pos="9072"/>
      </w:tabs>
      <w:spacing/>
      <w:ind/>
    </w:pPr>
    <w:rPr>
      <w:szCs w:val="20"/>
    </w:rPr>
  </w:style>
  <w:style w:type="paragraph" w:styleId="741">
    <w:name w:val="footnote text"/>
    <w:basedOn w:val="719"/>
    <w:semiHidden/>
    <w:pPr>
      <w:pBdr/>
      <w:spacing/>
      <w:ind/>
    </w:pPr>
    <w:rPr>
      <w:sz w:val="20"/>
      <w:szCs w:val="20"/>
    </w:rPr>
  </w:style>
  <w:style w:type="paragraph" w:styleId="742" w:customStyle="1">
    <w:name w:val="Normální_IMP"/>
    <w:basedOn w:val="719"/>
    <w:qFormat/>
    <w:pPr>
      <w:pBdr/>
      <w:spacing w:line="228" w:lineRule="auto"/>
      <w:ind/>
      <w:jc w:val="both"/>
    </w:pPr>
    <w:rPr>
      <w:szCs w:val="20"/>
    </w:rPr>
  </w:style>
  <w:style w:type="paragraph" w:styleId="743">
    <w:name w:val="annotation text"/>
    <w:basedOn w:val="719"/>
    <w:semiHidden/>
    <w:qFormat/>
    <w:pPr>
      <w:pBdr/>
      <w:spacing/>
      <w:ind/>
    </w:pPr>
    <w:rPr>
      <w:sz w:val="20"/>
      <w:szCs w:val="20"/>
    </w:rPr>
  </w:style>
  <w:style w:type="paragraph" w:styleId="744">
    <w:name w:val="Body Text Indent 3"/>
    <w:basedOn w:val="719"/>
    <w:qFormat/>
    <w:pPr>
      <w:widowControl w:val="false"/>
      <w:pBdr/>
      <w:tabs>
        <w:tab w:val="left" w:leader="none" w:pos="540"/>
      </w:tabs>
      <w:spacing/>
      <w:ind w:hanging="540" w:left="540"/>
      <w:jc w:val="both"/>
    </w:pPr>
    <w:rPr>
      <w:bCs/>
    </w:rPr>
  </w:style>
  <w:style w:type="paragraph" w:styleId="745">
    <w:name w:val="Balloon Text"/>
    <w:basedOn w:val="71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46" w:customStyle="1">
    <w:name w:val="Hlava"/>
    <w:basedOn w:val="719"/>
    <w:qFormat/>
    <w:pPr>
      <w:pBdr/>
      <w:spacing w:before="240"/>
      <w:ind/>
      <w:jc w:val="center"/>
    </w:pPr>
  </w:style>
  <w:style w:type="paragraph" w:styleId="747" w:customStyle="1">
    <w:name w:val="Seznam očíslovaný"/>
    <w:basedOn w:val="733"/>
    <w:qFormat/>
    <w:pPr>
      <w:widowControl w:val="false"/>
      <w:pBdr/>
      <w:spacing w:after="113"/>
      <w:ind w:hanging="424" w:left="425"/>
      <w:jc w:val="both"/>
    </w:pPr>
  </w:style>
  <w:style w:type="paragraph" w:styleId="748">
    <w:name w:val="Title"/>
    <w:basedOn w:val="719"/>
    <w:next w:val="719"/>
    <w:link w:val="729"/>
    <w:qFormat/>
    <w:pPr>
      <w:keepNext w:val="true"/>
      <w:pBdr/>
      <w:spacing w:after="120" w:before="240"/>
      <w:ind/>
      <w:jc w:val="center"/>
    </w:pPr>
    <w:rPr>
      <w:rFonts w:ascii="Arial" w:hAnsi="Arial" w:eastAsia="PingFang SC" w:cs="Arial Unicode MS"/>
      <w:b/>
      <w:bCs/>
      <w:lang w:eastAsia="zh-CN" w:bidi="hi-IN"/>
    </w:rPr>
  </w:style>
  <w:style w:type="paragraph" w:styleId="749" w:customStyle="1">
    <w:name w:val="Odstavec"/>
    <w:basedOn w:val="719"/>
    <w:qFormat/>
    <w:pPr>
      <w:pBdr/>
      <w:tabs>
        <w:tab w:val="left" w:leader="none" w:pos="567"/>
      </w:tabs>
      <w:spacing w:after="120" w:line="276" w:lineRule="auto"/>
      <w:ind/>
      <w:jc w:val="both"/>
    </w:pPr>
    <w:rPr>
      <w:rFonts w:ascii="Arial" w:hAnsi="Arial" w:eastAsia="Songti SC" w:cs="Arial Unicode MS"/>
      <w:sz w:val="22"/>
      <w:szCs w:val="22"/>
      <w:lang w:eastAsia="zh-CN" w:bidi="hi-IN"/>
    </w:rPr>
  </w:style>
  <w:style w:type="paragraph" w:styleId="750" w:customStyle="1">
    <w:name w:val="PodpisovePole"/>
    <w:basedOn w:val="719"/>
    <w:qFormat/>
    <w:pPr>
      <w:widowControl w:val="false"/>
      <w:suppressLineNumbers w:val="true"/>
      <w:pBdr/>
      <w:spacing/>
      <w:ind/>
      <w:jc w:val="center"/>
    </w:pPr>
    <w:rPr>
      <w:rFonts w:ascii="Arial" w:hAnsi="Arial" w:eastAsia="Songti SC" w:cs="Arial Unicode MS"/>
      <w:sz w:val="22"/>
      <w:szCs w:val="22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MV ČR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dc:language>cs-CZ</dc:language>
  <cp:lastModifiedBy>Anonymous</cp:lastModifiedBy>
  <cp:revision>7</cp:revision>
  <dcterms:created xsi:type="dcterms:W3CDTF">2023-10-08T14:21:00Z</dcterms:created>
  <dcterms:modified xsi:type="dcterms:W3CDTF">2026-04-27T11:06:10Z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2023-11-20T13:03:40Z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5b046471-e50f-444f-9197-5032e9ab0e6f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