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02_ 2022</w:t>
      </w:r>
      <w:r>
        <w:rPr>
          <w:rFonts w:ascii="Times New Roman" w:hAnsi="Times New Roman"/>
          <w:b/>
          <w:sz w:val="36"/>
          <w:szCs w:val="36"/>
        </w:rPr>
        <w:t xml:space="preserve"> - Spisový a skartační řád Obce Horní Kněžeklady</w:t>
      </w:r>
      <w:r>
        <w:rPr>
          <w:rFonts w:ascii="Times New Roman" w:hAnsi="Times New Roman"/>
          <w:b/>
          <w:sz w:val="36"/>
          <w:szCs w:val="36"/>
        </w:rPr>
      </w:r>
    </w:p>
    <w:p>
      <w:pPr>
        <w:pBdr/>
        <w:spacing/>
        <w:ind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Spisový a skartační řád Obecního úřadu Horní Kněžeklady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9"/>
        <w:pBdr/>
        <w:spacing w:after="0" w:before="0"/>
        <w:ind w:firstLine="0"/>
        <w:jc w:val="both"/>
        <w:rPr>
          <w:szCs w:val="24"/>
        </w:rPr>
      </w:pPr>
      <w:r>
        <w:rPr>
          <w:szCs w:val="24"/>
        </w:rPr>
        <w:t xml:space="preserve">Obsah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Úvodní ustanovení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Příjem dokumentů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Evidence dokumentů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Vyřizování dokumentů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Podepisování dokumentů a užití zkratek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Odesílání dokumentů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Ukládání dokumentů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Vyřazování dokumentů</w:t>
      </w:r>
      <w:r>
        <w:rPr>
          <w:szCs w:val="24"/>
        </w:rPr>
      </w:r>
    </w:p>
    <w:p>
      <w:pPr>
        <w:pStyle w:val="739"/>
        <w:numPr>
          <w:ilvl w:val="0"/>
          <w:numId w:val="1"/>
        </w:numPr>
        <w:pBdr/>
        <w:spacing w:after="0" w:before="0"/>
        <w:ind w:left="426"/>
        <w:jc w:val="both"/>
        <w:rPr>
          <w:szCs w:val="24"/>
        </w:rPr>
      </w:pPr>
      <w:r>
        <w:rPr>
          <w:szCs w:val="24"/>
        </w:rPr>
        <w:t xml:space="preserve">Závěrečná ustanovení</w:t>
      </w:r>
      <w:r>
        <w:rPr>
          <w:szCs w:val="24"/>
        </w:rPr>
      </w:r>
    </w:p>
    <w:p>
      <w:pPr>
        <w:pStyle w:val="740"/>
        <w:pBdr/>
        <w:spacing/>
        <w:ind/>
        <w:jc w:val="both"/>
        <w:rPr>
          <w:lang w:eastAsia="cs-CZ"/>
        </w:rPr>
      </w:pPr>
      <w:r>
        <w:rPr>
          <w:lang w:eastAsia="cs-CZ"/>
        </w:rPr>
      </w:r>
      <w:r>
        <w:rPr>
          <w:lang w:eastAsia="cs-CZ"/>
        </w:rPr>
      </w:r>
    </w:p>
    <w:p>
      <w:pPr>
        <w:pStyle w:val="739"/>
        <w:pBdr/>
        <w:spacing w:after="0"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Čl. 1</w:t>
      </w:r>
      <w:r>
        <w:rPr>
          <w:b/>
          <w:szCs w:val="24"/>
        </w:rPr>
      </w:r>
    </w:p>
    <w:p>
      <w:pPr>
        <w:pStyle w:val="739"/>
        <w:pBdr/>
        <w:spacing w:after="160"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Úvodní ustanovení</w:t>
      </w:r>
      <w:r>
        <w:rPr>
          <w:b/>
          <w:szCs w:val="24"/>
        </w:rPr>
      </w:r>
    </w:p>
    <w:p>
      <w:pPr>
        <w:pStyle w:val="739"/>
        <w:pBdr/>
        <w:spacing w:after="160" w:before="0"/>
        <w:ind w:firstLine="0"/>
        <w:jc w:val="both"/>
        <w:rPr>
          <w:szCs w:val="24"/>
        </w:rPr>
      </w:pPr>
      <w:r>
        <w:rPr>
          <w:szCs w:val="24"/>
        </w:rPr>
        <w:t xml:space="preserve">1. Tento spisový a skartační řád se vydává na základě § 66 odst. 2 zákona č. 499/2004 Sb. o archivnictví a spisové službě a o změně některých zákonů, v souladu s vyhláškou č. 283/2014 Sb. o podrobnostech výkonu spisové služby ve znění pozdějších předpisů. </w:t>
      </w:r>
      <w:r>
        <w:rPr>
          <w:szCs w:val="24"/>
        </w:rPr>
      </w:r>
    </w:p>
    <w:p>
      <w:pPr>
        <w:pStyle w:val="739"/>
        <w:pBdr/>
        <w:spacing w:after="160" w:before="0"/>
        <w:ind w:firstLine="0"/>
        <w:jc w:val="both"/>
        <w:rPr>
          <w:szCs w:val="24"/>
        </w:rPr>
      </w:pPr>
      <w:r>
        <w:rPr>
          <w:szCs w:val="24"/>
        </w:rPr>
        <w:t xml:space="preserve">2. Má platnost pro Obecní úřad (dále jen „úřad“) a je závazný pro všechny jeho zaměstnance.</w:t>
      </w:r>
      <w:r>
        <w:rPr>
          <w:szCs w:val="24"/>
        </w:rPr>
      </w:r>
    </w:p>
    <w:p>
      <w:pPr>
        <w:pStyle w:val="739"/>
        <w:pBdr/>
        <w:spacing w:after="160" w:before="0"/>
        <w:ind w:firstLine="0"/>
        <w:jc w:val="both"/>
        <w:rPr>
          <w:szCs w:val="24"/>
        </w:rPr>
      </w:pPr>
      <w:r>
        <w:rPr>
          <w:szCs w:val="24"/>
        </w:rPr>
        <w:t xml:space="preserve">3. Spisovou službou se rozumí zajištění odborné správy dokumentů došlých a vzešlých z </w:t>
      </w:r>
      <w:r>
        <w:rPr>
          <w:szCs w:val="24"/>
        </w:rPr>
        <w:t xml:space="preserve">činnosti úřadu, popřípadě z činnosti jeho právního předchůdce, zahrnující jejich řádný příjem, evidenci, rozdělování, oběh, vyřizování, vyhotovování, podepisování, odesílání, ukládání a vyřazování ve skartačním řízení, a to včetně kontroly těchto činností.</w:t>
      </w:r>
      <w:r>
        <w:rPr>
          <w:szCs w:val="24"/>
        </w:rPr>
      </w:r>
    </w:p>
    <w:p>
      <w:pPr>
        <w:pStyle w:val="739"/>
        <w:pBdr/>
        <w:spacing w:after="160" w:before="0"/>
        <w:ind w:firstLine="0"/>
        <w:jc w:val="both"/>
        <w:rPr>
          <w:szCs w:val="24"/>
        </w:rPr>
      </w:pPr>
      <w:r>
        <w:rPr>
          <w:szCs w:val="24"/>
        </w:rPr>
        <w:t xml:space="preserve">4. Za dokument se považuje každý písemný, obrazový, zvukový, elektronický nebo jiný záznam, ať již v podobě analogové či digitální, které jsou do úřadu doručovány nebo vznikají z jeho činnosti.</w:t>
      </w:r>
      <w:r>
        <w:rPr>
          <w:szCs w:val="24"/>
        </w:rPr>
      </w:r>
    </w:p>
    <w:p>
      <w:pPr>
        <w:pStyle w:val="739"/>
        <w:pBdr/>
        <w:spacing w:after="160" w:before="0"/>
        <w:ind w:firstLine="0"/>
        <w:jc w:val="both"/>
        <w:rPr>
          <w:szCs w:val="24"/>
        </w:rPr>
      </w:pPr>
      <w:r>
        <w:rPr>
          <w:szCs w:val="24"/>
        </w:rPr>
        <w:t xml:space="preserve">5. Spisová služba se vykonává elektronickou formou za použití výpočetní techniky.</w:t>
      </w:r>
      <w:r>
        <w:rPr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Základní pojmy: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spisovna je prostor, kam se ukládají vyřízené dokumenty úřadu do doby uplynutí jejich skartačních lhůt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skartační lhůta je doba, po kterou jsou dokumenty uloženy na úřadě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-spisový znak je znak, vyjadřující věcné zařazení písemností ve struktuře úřední dokumentace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skartační </w:t>
      </w:r>
      <w:r>
        <w:rPr>
          <w:rFonts w:ascii="Times New Roman" w:hAnsi="Times New Roman"/>
          <w:sz w:val="24"/>
          <w:szCs w:val="24"/>
        </w:rPr>
        <w:t xml:space="preserve">znak ,,A" (archiv</w:t>
      </w:r>
      <w:r>
        <w:rPr>
          <w:rFonts w:ascii="Times New Roman" w:hAnsi="Times New Roman"/>
          <w:sz w:val="24"/>
          <w:szCs w:val="24"/>
        </w:rPr>
        <w:t xml:space="preserve">) označuje dokument trvalé hodnoty, který bude ve skartačním řízení vybrán jako archiválie k trvalému uložení do Státního okresního archivu České Budějovice, </w:t>
      </w:r>
      <w:r>
        <w:rPr>
          <w:rFonts w:ascii="Times New Roman" w:hAnsi="Times New Roman"/>
          <w:sz w:val="24"/>
          <w:szCs w:val="24"/>
        </w:rPr>
        <w:t xml:space="preserve">Rudolfovská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tř. </w:t>
      </w:r>
      <w:r>
        <w:rPr>
          <w:rFonts w:ascii="Times New Roman" w:hAnsi="Times New Roman"/>
          <w:sz w:val="24"/>
          <w:szCs w:val="24"/>
        </w:rPr>
        <w:t xml:space="preserve">40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skartační znak „S“ (stoupa) označuje dokument bez trvalé hodnoty, jenž bude ve skartačním řízení navržen ke zničení.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skartační znak „V“ (výběr) označuje dokument, který bude ve skartačním řízení posouzen a rozdělen mezi dokumenty se skartačním znakem „A“ nebo mezi dokumenty se skartačním znakem „S“.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skartační plán je seznam typů písemností roztříděných do věcných skupin s vyznačenými spisovými znaky a skartačními znaky a lhůtami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skartační řízení je proces, při němž se z vyřazených písemností oddělují archiválie od písemností bezcenných.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9"/>
        <w:pBdr/>
        <w:spacing w:after="0"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Čl. 2</w:t>
      </w:r>
      <w:r>
        <w:rPr>
          <w:b/>
          <w:szCs w:val="24"/>
        </w:rPr>
      </w:r>
    </w:p>
    <w:p>
      <w:pPr>
        <w:pStyle w:val="730"/>
        <w:pBdr/>
        <w:spacing w:after="160"/>
        <w:ind/>
        <w:rPr>
          <w:szCs w:val="24"/>
        </w:rPr>
      </w:pPr>
      <w:r>
        <w:rPr>
          <w:szCs w:val="24"/>
        </w:rPr>
        <w:t xml:space="preserve">Příjem dokumentů</w:t>
      </w:r>
      <w:r>
        <w:rPr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Dokumenty doručené do úřadu přijímá pověřená osoba (starosta/místostarosta) k tomu určená, která za stav spisové služby odpovídá.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Pověřená osoba (starosta/místostarosta) zkontroluje, zda souhlasí počet listů a příloh dokumentů a všechna doručená podání v den, kdy byla doručena do úřadu, opatří otiskem podacího razítka. Po zaev</w:t>
      </w:r>
      <w:r>
        <w:rPr>
          <w:rFonts w:ascii="Times New Roman" w:hAnsi="Times New Roman"/>
          <w:sz w:val="24"/>
          <w:szCs w:val="24"/>
        </w:rPr>
        <w:t xml:space="preserve">idování je předá k vyřízení; v případě dokumentů přijatých mimo podatelnu a dokumentů vzniklých z podání učiněných ústně to platí obdobně. Pokud je dokument doručen v digitální podobě, opatří se identifikátorem elektronické podatelny a předá se k vyřízení.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Pokud je v adrese na obálce dokumentu uvedeno na prvním</w:t>
      </w:r>
      <w:r>
        <w:rPr>
          <w:rFonts w:ascii="Times New Roman" w:hAnsi="Times New Roman"/>
          <w:sz w:val="24"/>
          <w:szCs w:val="24"/>
        </w:rPr>
        <w:t xml:space="preserve"> místě jméno a příjmení zaměstnance, předá se mu neotevřený. Zjistí-li adresát po otevření zásilky, že obsahuje dokument úředního charakteru, zabezpečí jeho dodatečné zaevidování. Pokud je dokument úředního charakteru doručen v digitální podobě přímo do e-</w:t>
      </w:r>
      <w:r>
        <w:rPr>
          <w:rFonts w:ascii="Times New Roman" w:hAnsi="Times New Roman"/>
          <w:sz w:val="24"/>
          <w:szCs w:val="24"/>
        </w:rPr>
        <w:t xml:space="preserve">mailové</w:t>
      </w:r>
      <w:r>
        <w:rPr>
          <w:rFonts w:ascii="Times New Roman" w:hAnsi="Times New Roman"/>
          <w:sz w:val="24"/>
          <w:szCs w:val="24"/>
        </w:rPr>
        <w:t xml:space="preserve"> schránky adresáta, postupuje se obdobně.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Podací razítko obsahuje: název obce, datum doručení, číslo jednací, počet listů a počet listů příloh nebo počet svazků příloh, u příloh v nelistinné podobě jejich počet a druh, u dokumentů v digitální podobě velikost.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Číslo jednací tvoří pořadové </w:t>
      </w:r>
      <w:r>
        <w:rPr>
          <w:rFonts w:ascii="Times New Roman" w:hAnsi="Times New Roman"/>
          <w:sz w:val="24"/>
          <w:szCs w:val="24"/>
        </w:rPr>
        <w:t xml:space="preserve">číslo dokumentu v podacím deníku lomené posledním dvojčíslím běžného kalendářního roku nebo celým rokem a lze doplnit o spisovou značku zaměstnance. Pod jedním číslem jednacím se vždy vyřizuje jen jedno podání nebo hromadná podání evidovaná sběrným archem.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Číslem jednacím se neoznačují a evidenci nepodléhají následující dokumenty: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došlé: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knihy, noviny, časopisy, sbírky zákonů, věstníky, normy, reklamní a nabídkové tiskoviny, pozvánky (mimo pozvánek na služební jednání),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vlastní: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koncepty, pomocné a interní dokumenty,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neschopenky, dovolenky, propustky a jiné materiály týkajíce se přítomnosti zaměstnanců,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dokumenty, u nichž je vedena samostatná evidence (viz čl. 3 odst. 10).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Obálka se u spisu ponechává: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hanging="142"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není-li na samotném dokumentu datum nebo rozchází-li se datum dokumentu s datem </w:t>
      </w:r>
      <w:r>
        <w:rPr>
          <w:rFonts w:ascii="Times New Roman" w:hAnsi="Times New Roman"/>
          <w:sz w:val="24"/>
          <w:szCs w:val="24"/>
        </w:rPr>
        <w:t xml:space="preserve">pošty  na</w:t>
      </w:r>
      <w:r>
        <w:rPr>
          <w:rFonts w:ascii="Times New Roman" w:hAnsi="Times New Roman"/>
          <w:sz w:val="24"/>
          <w:szCs w:val="24"/>
        </w:rPr>
        <w:t xml:space="preserve"> obálce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není-li dokument podepsán (i když je uvedeno jméno a adresa pisatele)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má-li datum podání zásilky na poště právní význam (např. posouzení dodržení lhůty)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u dokumentů doručených a dokumentů zasílaných na doručenku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je-li adresa odesílatele pouze na obálce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- u stížností.</w:t>
      </w:r>
      <w:r>
        <w:rPr>
          <w:rFonts w:ascii="Times New Roman" w:hAnsi="Times New Roman"/>
          <w:sz w:val="24"/>
          <w:szCs w:val="24"/>
          <w:lang w:eastAsia="cs-CZ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</w:r>
      <w:r>
        <w:rPr>
          <w:rFonts w:ascii="Times New Roman" w:hAnsi="Times New Roman"/>
          <w:sz w:val="24"/>
          <w:szCs w:val="24"/>
          <w:lang w:eastAsia="cs-CZ"/>
        </w:rPr>
      </w:r>
    </w:p>
    <w:p>
      <w:pPr>
        <w:pBdr/>
        <w:tabs>
          <w:tab w:val="left" w:leader="none" w:pos="285"/>
        </w:tabs>
        <w:spacing w:after="0" w:line="240" w:lineRule="auto"/>
        <w:ind/>
        <w:jc w:val="both"/>
        <w:rPr/>
      </w:pPr>
      <w:r>
        <w:rPr>
          <w:rFonts w:ascii="Times New Roman" w:hAnsi="Times New Roman"/>
          <w:sz w:val="24"/>
          <w:szCs w:val="24"/>
        </w:rPr>
        <w:t xml:space="preserve">8. Dokumenty v digitální podobě se přijímají formou datových zpráv prostřednictvím datové </w:t>
      </w:r>
      <w:r>
        <w:rPr>
          <w:rFonts w:ascii="Times New Roman" w:hAnsi="Times New Roman"/>
          <w:sz w:val="24"/>
          <w:szCs w:val="24"/>
        </w:rPr>
        <w:tab/>
        <w:t xml:space="preserve">schránky.</w:t>
      </w:r>
      <w:r/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</w:r>
      <w:r>
        <w:rPr>
          <w:rFonts w:ascii="Times New Roman" w:hAnsi="Times New Roman"/>
          <w:sz w:val="24"/>
          <w:szCs w:val="24"/>
          <w:lang w:eastAsia="cs-CZ"/>
        </w:rPr>
      </w:r>
    </w:p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3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0"/>
        <w:pBdr/>
        <w:spacing w:after="160"/>
        <w:ind/>
        <w:rPr>
          <w:szCs w:val="24"/>
        </w:rPr>
      </w:pPr>
      <w:r>
        <w:rPr>
          <w:szCs w:val="24"/>
        </w:rPr>
        <w:t xml:space="preserve">Evidence dokumentů</w:t>
      </w:r>
      <w:r>
        <w:rPr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 Dokumenty se evidují v číselném a časovém pořadí, v němž byly doručeny nebo vznikly.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Dokumentu se zapisují do podacího deníku, který obsahuje údaje: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pořadové číslo dokumentu, pod nímž je v podacím deníku evidován,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datum doručení dokumentu nebo, jedná-li se o dokument vzniklý z vlastní činnosti, datum jeho vzniku; u datových zpráv se za čas doručení považuje okamžik, kdy je dokument dostupný elektronické podatelně,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identifikace odesílatele; jde-li o dokument vzniklý z vlastní činnosti, zapíše se jako „vlastní“,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číslo jednací odesílatele, počet listů došlého nebo vlastního dokumentu a počet listů příloh nebo počet svazků příloh, u příloh v nelistinné podobě jejich počet a druh,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stručný obsah dokumentu,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jméno a příjmení zaměstnance určeného k vyřízení,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g) adresát a způsob vyřízení,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den odeslání, počet listů odesílaného dokumentu a počet listů příloh nebo počet svazků příloh, u příloh v nelistinné podobě jejich počet a druh,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i) spisový znak, skartační znak a skartační lhůta dokumentu nebo rok, v němž bude dokument zařazen do skartačního řízení, počet listů nebo jiný údaj o rozsahu uloženého dokumentu.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Zjistí-li se při zápisu nového dokumentu do podacího deníku, že v téže záležitosti byl již zaevidován jiný dokument, připojí se předchozí dokument k novému dokumentu. Kromě podacího razítka se</w:t>
      </w:r>
      <w:r>
        <w:rPr>
          <w:rFonts w:ascii="Times New Roman" w:hAnsi="Times New Roman"/>
          <w:sz w:val="24"/>
          <w:szCs w:val="24"/>
        </w:rPr>
        <w:t xml:space="preserve"> na novém dokumentu poznamená i číslo jednací předchozího dokumentu. V podacím deníku se u předchozího dokumentu, který se připojuje k novému dokumentu, poznamená v kolonce „Uloženo“ číslo jednací nového dokumentu, k němuž se předchozí dokument připojuje. </w:t>
      </w:r>
      <w:r>
        <w:rPr>
          <w:rFonts w:ascii="Times New Roman" w:hAnsi="Times New Roman"/>
          <w:sz w:val="24"/>
          <w:szCs w:val="24"/>
        </w:rPr>
        <w:t xml:space="preserve">P</w:t>
      </w:r>
      <w:r>
        <w:rPr>
          <w:rFonts w:ascii="Times New Roman" w:hAnsi="Times New Roman"/>
          <w:sz w:val="24"/>
          <w:szCs w:val="24"/>
        </w:rPr>
        <w:t xml:space="preserve">odací deník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veden v digitální podobě, spojování dokumentů se provádí podle zásad pro tvorbu spisu.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 Jestliže k jedné věci bude doručen nebo vytvořen větší počet dokumentů, lze pro jejich evidenci použít sběrného archu, který obsahuje údaje jako podací deník a vede se k jednacímu </w:t>
      </w:r>
      <w:r>
        <w:rPr>
          <w:rFonts w:ascii="Times New Roman" w:hAnsi="Times New Roman"/>
          <w:sz w:val="24"/>
          <w:szCs w:val="24"/>
        </w:rPr>
        <w:t xml:space="preserve">číslu prvního dokumentu, který je v něm evidován. Ostatní evidované dokum</w:t>
      </w:r>
      <w:r>
        <w:rPr>
          <w:rFonts w:ascii="Times New Roman" w:hAnsi="Times New Roman"/>
          <w:sz w:val="24"/>
          <w:szCs w:val="24"/>
        </w:rPr>
        <w:t xml:space="preserve">enty mají číslo jednací totožné, pro odlišení doplněné pořadovým číslem dokumentu ze sběrného archu. Sběrný arch se stává součástí spisu, jehož dokumenty jsou v tomto sběrném archu evidovány. V kolonce „Vyřízeno“ se do podacího deníku zapíše „Sběrný arch“.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 Obec vede samostatnou evidenci dokumentů, na které se vztahují zvláštní právní předpisy, např. evidenci faktur, stížností, správních rozhodnutí, vyhlášek, objednávek, informací uveřejněných na úřední desce, apod.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4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0"/>
        <w:pBdr/>
        <w:spacing w:after="160"/>
        <w:ind/>
        <w:rPr>
          <w:szCs w:val="24"/>
        </w:rPr>
      </w:pPr>
      <w:r>
        <w:rPr>
          <w:szCs w:val="24"/>
        </w:rPr>
        <w:t xml:space="preserve">Vyřizování dokumentů</w:t>
      </w:r>
      <w:r>
        <w:rPr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Zaevidovaný dokument se předává k vyřízení zpracovateli.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Jestliže se zjistí, že úřad není příslušný k vyřízení dokumentu, postoupí jej příslušnému místu a odesílatele o tom vyrozumí.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Spis se musí vyřídit nebo zpracovat věcně, srozumitelně a bez průtahů. Za vyřízení spisu zodpovídá zpracovatel. Vyřídí-li se dokument jinak než v listinné formě (např. telefonicky, osobním jednáním), učiní se o tom na dokumentu i v podacím deníku záznam.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Zaměstnanec pov</w:t>
      </w:r>
      <w:r>
        <w:rPr>
          <w:rFonts w:ascii="Times New Roman" w:hAnsi="Times New Roman"/>
          <w:sz w:val="24"/>
          <w:szCs w:val="24"/>
        </w:rPr>
        <w:t xml:space="preserve">ěřený vedením podacího deníku v něm zaznamená, jak byl dokument vyřízen, kdy a komu bylo odesláno písemné vyhotovení vyřízení dokumentu. U dokumentu, který byl vyřízen spolu s jiným dokumentem, se tato skutečnost uvede v kolonce „Vyřízeno“ podacího deníku.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Všechny dokumenty týkající se téže věci se spojují ve spis. Spis musí obsahovat soupis všech čísel jednacích dokumentů, jež jsou jeho součástí. Návaznost připojovaných dokumentů se vyznačí v podacím deníku.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S</w:t>
      </w:r>
      <w:r>
        <w:rPr>
          <w:rFonts w:ascii="Times New Roman" w:hAnsi="Times New Roman"/>
          <w:sz w:val="24"/>
          <w:szCs w:val="24"/>
        </w:rPr>
        <w:t xml:space="preserve">oučástí vyřízeného spisu je vždy písemné vyhotovení vyřízení dokumentu nebo jeho stejnopis označený datem předání k odeslání. Dokument v digitální podobě musí být převeden do analogové formy odpovídající době jeho vyřízení a opatřen náležitostmi originálu.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Zamě</w:t>
      </w:r>
      <w:r>
        <w:rPr>
          <w:rFonts w:ascii="Times New Roman" w:hAnsi="Times New Roman"/>
          <w:sz w:val="24"/>
          <w:szCs w:val="24"/>
        </w:rPr>
        <w:t xml:space="preserve">stnanec, který dokument vyřídil, jej označí spisovým znakem, skartačním znakem a skartační lhůtou, případně rokem zařazení dokumentu do skartačního řízení, podle spisového a skartačního plánu, který tvoří přílohu č. 1. tohoto spisového a skartačního řádu.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0"/>
        <w:pBdr/>
        <w:spacing/>
        <w:ind/>
        <w:rPr>
          <w:szCs w:val="24"/>
        </w:rPr>
      </w:pPr>
      <w:r>
        <w:rPr>
          <w:szCs w:val="24"/>
        </w:rPr>
        <w:t xml:space="preserve">Čl. 5</w:t>
      </w:r>
      <w:r>
        <w:rPr>
          <w:szCs w:val="24"/>
        </w:rPr>
      </w:r>
    </w:p>
    <w:p>
      <w:pPr>
        <w:pStyle w:val="730"/>
        <w:pBdr/>
        <w:spacing w:after="160"/>
        <w:ind/>
        <w:rPr>
          <w:szCs w:val="24"/>
        </w:rPr>
      </w:pPr>
      <w:r>
        <w:rPr>
          <w:szCs w:val="24"/>
        </w:rPr>
        <w:t xml:space="preserve">Podepisování dokumentů a užívání razítek</w:t>
      </w:r>
      <w:r>
        <w:rPr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Dokument podepisuje zaměstnanec k tomu pověřený vnitřními předpisy úřadu. Pokud to stanoví zvláštní právní předpis, opatří se podepsaný dokument otiskem úředního razítka.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Pokud má úřad několik razítek stejného typu se shodným textem, rozlišují se pořadovými čísly.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Ú</w:t>
      </w:r>
      <w:r>
        <w:rPr>
          <w:rFonts w:ascii="Times New Roman" w:hAnsi="Times New Roman"/>
          <w:sz w:val="24"/>
          <w:szCs w:val="24"/>
        </w:rPr>
        <w:t xml:space="preserve">řad vede evidenci razítek, obsahující otisk razítka s uvedením jména, popřípadě jmen, příjmení a funkce zaměstnance, který razítko převzal a užívá, datum převzetí, datum vrácení razítka, datum vyřazení razítka z evidence a podpis přebírajícího zaměstnance.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Razítko se vyřazuje z evidence v případech: ztráty jeho platnosti, jeho ztráty nebo jeho opotřebování.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Ztrátu úředního razítka úřad bezodkladně oznámí odboru pro místní správu Ministerstva vnitra. V oznámení uvede přesný opis textu z otisku razítka a datum, od kdy se razítko postrádá.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6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0"/>
        <w:pBdr/>
        <w:spacing w:after="160"/>
        <w:ind/>
        <w:rPr>
          <w:szCs w:val="24"/>
        </w:rPr>
      </w:pPr>
      <w:r>
        <w:rPr>
          <w:szCs w:val="24"/>
        </w:rPr>
        <w:t xml:space="preserve">Odesílání dokumentů</w:t>
      </w:r>
      <w:r>
        <w:rPr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Odesílání dokum</w:t>
      </w:r>
      <w:r>
        <w:rPr>
          <w:rFonts w:ascii="Times New Roman" w:hAnsi="Times New Roman"/>
          <w:sz w:val="24"/>
          <w:szCs w:val="24"/>
        </w:rPr>
        <w:t xml:space="preserve">entu zajišťuje úřad prostřednictvím pověřené osoby, která zajistí vybavení odesílaného dokumentu náležitostmi k jeho odeslání. Písemnosti jsou odesílány podle jejich závažnosti obyčejnou poštou, doporučeně, na doručenku nebo do vlastních rukou, telefaxem, </w:t>
      </w:r>
      <w:r>
        <w:rPr>
          <w:rFonts w:ascii="Times New Roman" w:hAnsi="Times New Roman"/>
          <w:sz w:val="24"/>
          <w:szCs w:val="24"/>
        </w:rPr>
        <w:t xml:space="preserve">datovou schránkou, osobně nebo kurýrem.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Do vlastních rukou adresáta se odesílají dokumenty, u nichž je nutno, aby dor</w:t>
      </w:r>
      <w:r>
        <w:rPr>
          <w:rFonts w:ascii="Times New Roman" w:hAnsi="Times New Roman"/>
          <w:sz w:val="24"/>
          <w:szCs w:val="24"/>
        </w:rPr>
        <w:t xml:space="preserve">učení bylo doloženo, nebo je-li to stanoveno zvláštními právními předpisy. Písemný doklad stvrzující, že dokument byl doručen nebo že poštovní zásilka obsahující dokument byla dodána, včetně dne, kdy se tak stalo, se po vrácení připojí k příslušnému spisu.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7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30"/>
        <w:pBdr/>
        <w:spacing w:after="160"/>
        <w:ind/>
        <w:rPr>
          <w:szCs w:val="24"/>
        </w:rPr>
      </w:pPr>
      <w:r>
        <w:rPr>
          <w:szCs w:val="24"/>
        </w:rPr>
        <w:t xml:space="preserve">Ukládání dokumentů</w:t>
      </w:r>
      <w:r>
        <w:rPr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Všechny vyřízené spisy a jiné dokumenty úřadu jsou po dobu trvání skartační lhůty uloženy na místě vyhrazeném k uložení dokumentů (dále jen „spisovna“).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Dokumenty se ukládají do spisovny zpravidla ihned po jejich vyřízení, pokud povaha věci nevyžaduje, aby zpracovatel měl vyřízený dokument déle.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Ve spisovn</w:t>
      </w:r>
      <w:r>
        <w:rPr>
          <w:rFonts w:ascii="Times New Roman" w:hAnsi="Times New Roman"/>
          <w:sz w:val="24"/>
          <w:szCs w:val="24"/>
        </w:rPr>
        <w:t xml:space="preserve">ě se ukládají písemnosti podle věcných hledisek v označených pořadačích či balících. Na štítku se uvede název obecního úřadu, název písemnosti, časový rozsah, skartační znak s lhůtou. Před předáním písemností je třeba vyřídit multiplikáty, koncepty, kopie.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Zaměstnanec pověřený vedením spiso</w:t>
      </w:r>
      <w:r>
        <w:rPr>
          <w:rFonts w:ascii="Times New Roman" w:hAnsi="Times New Roman"/>
          <w:sz w:val="24"/>
          <w:szCs w:val="24"/>
        </w:rPr>
        <w:t xml:space="preserve">vny (místostarosta/místostarost</w:t>
      </w:r>
      <w:r>
        <w:rPr>
          <w:rFonts w:ascii="Times New Roman" w:hAnsi="Times New Roman"/>
          <w:sz w:val="24"/>
          <w:szCs w:val="24"/>
        </w:rPr>
        <w:t xml:space="preserve">a) přezkoumá, zda ukládaný dokument je úplný, případně zapíše spisový znak, skartační znak a skartační lhůta dokumentu nebo rok, v němž bude dokumen</w:t>
      </w:r>
      <w:r>
        <w:rPr>
          <w:rFonts w:ascii="Times New Roman" w:hAnsi="Times New Roman"/>
          <w:sz w:val="24"/>
          <w:szCs w:val="24"/>
        </w:rPr>
        <w:t xml:space="preserve">t zařazen do skartačního řízení, počet listů nebo jiný údaj o rozsahu uloženého dokumentu a uloží ho. O uložených dokumentech vede evidenci buď formou předávacích protokolů, nebo v archivní knize. Ve spisovně se dokument ukládá věcně podle spisového plánu.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Pro nahlížení do dokumentů uložených ve spisovně platí obecná ustanovení o nahlížení do spisů v řízení před správním orgánem nebo soudem; to neplatí, jestliže dokumenty před uložením ve spisovně byly veřejně přístupné.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O zapůjčených dokumentech vede spisovna knihu zápůjček (sešit). Do ní se zaznamená vždy datum zápůjčky, číslo jednací dokumentu, obsah a jméno a příjmení příslušného zaměstnance, který zapůjčení potvrdí svým podpisem.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/>
      </w:pPr>
      <w:r>
        <w:rPr>
          <w:rFonts w:ascii="Times New Roman" w:hAnsi="Times New Roman"/>
          <w:sz w:val="24"/>
          <w:szCs w:val="24"/>
        </w:rPr>
        <w:t xml:space="preserve">7. Dojde-li ke ztrátě dokumentu, do kolonky o vyřazení dokumentu v podacím deníku se zapíše „Ztráta“ a číslo jednací dokumentu, kterým byla ztráta řešena.</w:t>
      </w:r>
      <w:r/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Kroniky obce a ostatní významné dokumenty se ukládají do trezoru (nebo jiné vyhrazené uzamykatelné místo), aby byly maximálně zabezpečeny před poškozením nebo zničením. Originály nelze zapůjčovat mimo obecní úřad.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0"/>
        <w:pBdr/>
        <w:spacing/>
        <w:ind/>
        <w:rPr>
          <w:szCs w:val="24"/>
        </w:rPr>
      </w:pPr>
      <w:r>
        <w:rPr>
          <w:szCs w:val="24"/>
        </w:rPr>
        <w:t xml:space="preserve">Čl. 8</w:t>
      </w:r>
      <w:r>
        <w:rPr>
          <w:szCs w:val="24"/>
        </w:rPr>
      </w:r>
    </w:p>
    <w:p>
      <w:pPr>
        <w:pStyle w:val="730"/>
        <w:pBdr/>
        <w:spacing w:after="160"/>
        <w:ind/>
        <w:rPr>
          <w:szCs w:val="24"/>
        </w:rPr>
      </w:pPr>
      <w:r>
        <w:rPr>
          <w:szCs w:val="24"/>
        </w:rPr>
        <w:t xml:space="preserve">Vyřazování dokumentů</w:t>
      </w:r>
      <w:r>
        <w:rPr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Vyřazování dokumentů se provádí skartačním řízením, při kterém se vyřazují doku</w:t>
      </w:r>
      <w:r>
        <w:rPr>
          <w:rFonts w:ascii="Times New Roman" w:hAnsi="Times New Roman"/>
          <w:sz w:val="24"/>
          <w:szCs w:val="24"/>
        </w:rPr>
        <w:t xml:space="preserve">menty nadále nepotřebné pro činnost úřadu a při kterém příslušný archiv provádí výběr archiválií. Do skartačního řízení se zařazují všechny dokumenty, kterým uplynula skartační lhůta, a razítka vyřazená z evidence z důvodu ztráty platnosti nebo opotřebení.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Skartační řízení se provede na základě skartačního návrhu. Při malém nárůstu písemností během jednoho roku může být skartační řízení provedeno za delší období, nesmí však přesáhnout dobu </w:t>
      </w:r>
      <w:r>
        <w:rPr>
          <w:rFonts w:ascii="Times New Roman" w:hAnsi="Times New Roman"/>
          <w:sz w:val="24"/>
          <w:szCs w:val="24"/>
        </w:rPr>
        <w:t xml:space="preserve">5 let. Skartační návrh zašle úřad příslušnému archivu k posouzení a k provedení výběru archiválií, a to v listinné podobě ve dvojím vyhotovení. K provedení skartačního řízení sestaví skartační komisi, jejímž členem je vždy zaměstnanec zařazený do spisovny.</w:t>
      </w:r>
      <w:r>
        <w:rPr>
          <w:rFonts w:ascii="Times New Roman" w:hAnsi="Times New Roman"/>
          <w:sz w:val="24"/>
          <w:szCs w:val="24"/>
        </w:rPr>
      </w:r>
    </w:p>
    <w:p>
      <w:pPr>
        <w:pStyle w:val="739"/>
        <w:pBdr/>
        <w:spacing w:after="0" w:before="0"/>
        <w:ind w:firstLine="0"/>
        <w:jc w:val="both"/>
        <w:rPr>
          <w:szCs w:val="24"/>
        </w:rPr>
      </w:pPr>
      <w:r>
        <w:rPr>
          <w:szCs w:val="24"/>
        </w:rPr>
        <w:t xml:space="preserve">3. Skar</w:t>
      </w:r>
      <w:r>
        <w:rPr>
          <w:szCs w:val="24"/>
        </w:rPr>
        <w:t xml:space="preserve">tační návrh obsahuje označení původce dokumentů, které jsou navrženy ke skartačnímu řízení, seznam dokumentů navržených ke skartačnímu řízení, dobu jejich vzniku, jejich množství a návrh termínu provedení skartačního řízení (vzor je uveden v příloze č. 2).</w:t>
      </w:r>
      <w:r>
        <w:rPr>
          <w:szCs w:val="24"/>
        </w:rPr>
      </w:r>
    </w:p>
    <w:p>
      <w:pPr>
        <w:pStyle w:val="739"/>
        <w:pBdr/>
        <w:spacing w:after="0" w:before="0"/>
        <w:ind w:firstLine="0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V seznamech dokumentů navrhovaných ke skartačnímu říze</w:t>
      </w:r>
      <w:r>
        <w:rPr>
          <w:rFonts w:ascii="Times New Roman" w:hAnsi="Times New Roman"/>
          <w:sz w:val="24"/>
          <w:szCs w:val="24"/>
        </w:rPr>
        <w:t xml:space="preserve">ní se uvedou zvlášť dokumenty se skartačním znakem „A“, zvlášť dokumenty se skartačním znakem „S“. Dokumenty se skartačním znakem „V“ skartační komise posoudí a zařadí je buď k dokumentům se skartačním znakem „A“ nebo k dokumentům se skartačním znakem „S“.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Na základě skartačního návrhu provede archivář ze Státního okresního archivu České </w:t>
      </w:r>
      <w:r>
        <w:rPr>
          <w:rFonts w:ascii="Times New Roman" w:hAnsi="Times New Roman"/>
          <w:sz w:val="24"/>
          <w:szCs w:val="24"/>
        </w:rPr>
        <w:t xml:space="preserve">Budějovice,  odbornou</w:t>
      </w:r>
      <w:r>
        <w:rPr>
          <w:rFonts w:ascii="Times New Roman" w:hAnsi="Times New Roman"/>
          <w:sz w:val="24"/>
          <w:szCs w:val="24"/>
        </w:rPr>
        <w:t xml:space="preserve"> ar</w:t>
      </w:r>
      <w:r>
        <w:rPr>
          <w:rFonts w:ascii="Times New Roman" w:hAnsi="Times New Roman"/>
          <w:sz w:val="24"/>
          <w:szCs w:val="24"/>
        </w:rPr>
        <w:t xml:space="preserve">chivní dohlídku, při níž posoudí dokumenty a uloží skartační komisi sepsat upravený seznam archiválií a dokumentů vytříděných ke skartaci. Seznam bude přiložen ke skartačnímu protokolu, který obsahuje i souhlas se zničením vyřazených dokumentů skupiny „S“.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obdržení souhlasu se zni</w:t>
      </w:r>
      <w:r>
        <w:rPr>
          <w:rFonts w:ascii="Times New Roman" w:hAnsi="Times New Roman"/>
          <w:sz w:val="24"/>
          <w:szCs w:val="24"/>
        </w:rPr>
        <w:t xml:space="preserve">čením dokumentů označených skartačním znakem „S“ zabezpečí úřad jejich zničení. Zničením dokumentu se rozumí jeho znehodnocení tak, aby byla znemožněna jeho rekonstrukce a identifikace obsahu. Bez souhlasu příslušného archivu nesmějí být dokumenty zničeny.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Dokumenty vybrané jako archiválie předá úřad v dohodnutém termínu do Státního okresního archivu Čes</w:t>
      </w:r>
      <w:r>
        <w:rPr>
          <w:rFonts w:ascii="Times New Roman" w:hAnsi="Times New Roman"/>
          <w:sz w:val="24"/>
          <w:szCs w:val="24"/>
        </w:rPr>
        <w:t xml:space="preserve">ké Budějovice, </w:t>
      </w:r>
      <w:r>
        <w:rPr>
          <w:rFonts w:ascii="Times New Roman" w:hAnsi="Times New Roman"/>
          <w:sz w:val="24"/>
          <w:szCs w:val="24"/>
        </w:rPr>
        <w:t xml:space="preserve">Rudolfovská</w:t>
      </w:r>
      <w:r>
        <w:rPr>
          <w:rFonts w:ascii="Times New Roman" w:hAnsi="Times New Roman"/>
          <w:sz w:val="24"/>
          <w:szCs w:val="24"/>
        </w:rPr>
        <w:t xml:space="preserve"> tř. 4</w:t>
      </w:r>
      <w:r>
        <w:rPr>
          <w:rFonts w:ascii="Times New Roman" w:hAnsi="Times New Roman"/>
          <w:sz w:val="24"/>
          <w:szCs w:val="24"/>
        </w:rPr>
        <w:t xml:space="preserve">0.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30"/>
        <w:pBdr/>
        <w:spacing/>
        <w:ind/>
        <w:rPr>
          <w:szCs w:val="24"/>
        </w:rPr>
      </w:pPr>
      <w:r>
        <w:rPr>
          <w:szCs w:val="24"/>
        </w:rPr>
        <w:t xml:space="preserve">Čl. 9</w:t>
      </w:r>
      <w:r>
        <w:rPr>
          <w:szCs w:val="24"/>
        </w:rPr>
      </w:r>
    </w:p>
    <w:p>
      <w:pPr>
        <w:pStyle w:val="730"/>
        <w:pBdr/>
        <w:spacing w:after="160"/>
        <w:ind/>
        <w:rPr>
          <w:szCs w:val="24"/>
        </w:rPr>
      </w:pPr>
      <w:r>
        <w:rPr>
          <w:szCs w:val="24"/>
        </w:rPr>
        <w:t xml:space="preserve">Závěrečná ustanovení</w:t>
      </w:r>
      <w:r>
        <w:rPr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Manipulace s utajovanými skutečnostmi se řídí zvláštním právním předpisem. Takové dokumenty lze předložit k vyřazení až po zrušení stupně utajení.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Všichni členové zastupitelstva a pracovníci OÚ přicházející do styku s předpisem jsou povinni se tímto spisovým a skartačním řádem seznámit a řídit se pokyny v něm uvedenými.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spisový řád nabývá účinnosti</w:t>
      </w:r>
      <w:r>
        <w:rPr>
          <w:rFonts w:ascii="Times New Roman" w:hAnsi="Times New Roman"/>
          <w:sz w:val="24"/>
          <w:szCs w:val="24"/>
        </w:rPr>
        <w:t xml:space="preserve">: 20. 9. 2022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Seznam příloh: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 1 – Spisový a skartační plán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 2 – Vzor skartačního návrhu 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 3 – Vzor přílohy ke skartačnímu návrhu</w:t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Vzor podacího razítka</w:t>
      </w:r>
      <w:r>
        <w:rPr>
          <w:rFonts w:ascii="Times New Roman" w:hAnsi="Times New Roman"/>
          <w:sz w:val="24"/>
          <w:szCs w:val="24"/>
          <w:lang w:eastAsia="cs-CZ"/>
        </w:rPr>
      </w:r>
    </w:p>
    <w:p>
      <w:pPr>
        <w:pBdr/>
        <w:spacing/>
        <w:ind w:left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Ind w:w="1955" w:type="dxa"/>
        <w:tblW w:w="3836" w:type="dxa"/>
        <w:tblCellMar>
          <w:left w:w="112" w:type="dxa"/>
          <w:right w:w="112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3836"/>
      </w:tblGrid>
      <w:tr>
        <w:trPr>
          <w:trHeight w:val="691"/>
        </w:trPr>
        <w:tc>
          <w:tcPr>
            <w:shd w:val="clear" w:color="000000" w:fill="auto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tcW w:w="383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Název úřadu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13"/>
        </w:trPr>
        <w:tc>
          <w:tcPr>
            <w:shd w:val="clear" w:color="000000" w:fill="auto"/>
            <w:tcBorders>
              <w:top w:val="single" w:color="000000" w:sz="8" w:space="0"/>
              <w:left w:val="single" w:color="000000" w:sz="16" w:space="0"/>
              <w:bottom w:val="single" w:color="000000" w:sz="8" w:space="0"/>
              <w:right w:val="single" w:color="000000" w:sz="16" w:space="0"/>
            </w:tcBorders>
            <w:tcW w:w="383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Došlo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03"/>
        </w:trPr>
        <w:tc>
          <w:tcPr>
            <w:shd w:val="clear" w:color="000000" w:fill="auto"/>
            <w:tcBorders>
              <w:left w:val="single" w:color="000000" w:sz="16" w:space="0"/>
              <w:bottom w:val="single" w:color="000000" w:sz="8" w:space="0"/>
              <w:right w:val="single" w:color="000000" w:sz="16" w:space="0"/>
            </w:tcBorders>
            <w:tcW w:w="383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/>
        </w:trPr>
        <w:tc>
          <w:tcPr>
            <w:shd w:val="clear" w:color="000000" w:fill="auto"/>
            <w:tcBorders>
              <w:top w:val="single" w:color="000000" w:sz="8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W w:w="383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Počet listů/příloh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erReference w:type="default" r:id="rId9"/>
      <w:footnotePr/>
      <w:endnotePr/>
      <w:type w:val="nextPage"/>
      <w:pgSz w:h="16838" w:orient="portrait" w:w="11906"/>
      <w:pgMar w:top="1417" w:right="1417" w:bottom="1417" w:left="1417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Arial">
    <w:panose1 w:val="020B0604020202020204"/>
  </w:font>
  <w:font w:name="Microsoft YaHei">
    <w:panose1 w:val="020F0502020204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841705186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fldSimple w:instr="PAGE \* MERGEFORMAT">
          <w:r>
            <w:t xml:space="preserve">7</w:t>
          </w:r>
        </w:fldSimple>
        <w:r/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61132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6A050BA8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cs-CZ" w:eastAsia="cs-CZ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6"/>
    <w:next w:val="72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6"/>
    <w:next w:val="72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6"/>
    <w:next w:val="72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6"/>
    <w:next w:val="72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6"/>
    <w:next w:val="72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6"/>
    <w:next w:val="72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6"/>
    <w:next w:val="72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6"/>
    <w:next w:val="72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6"/>
    <w:next w:val="72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7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6"/>
    <w:next w:val="72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6"/>
    <w:next w:val="72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6"/>
    <w:next w:val="72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6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2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6"/>
    <w:next w:val="72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7"/>
    <w:link w:val="747"/>
    <w:uiPriority w:val="99"/>
    <w:pPr>
      <w:pBdr/>
      <w:spacing/>
      <w:ind/>
    </w:pPr>
  </w:style>
  <w:style w:type="character" w:styleId="179">
    <w:name w:val="Footer Char"/>
    <w:basedOn w:val="727"/>
    <w:link w:val="749"/>
    <w:uiPriority w:val="99"/>
    <w:pPr>
      <w:pBdr/>
      <w:spacing/>
      <w:ind/>
    </w:pPr>
  </w:style>
  <w:style w:type="paragraph" w:styleId="180">
    <w:name w:val="Caption"/>
    <w:basedOn w:val="726"/>
    <w:next w:val="72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6"/>
    <w:next w:val="726"/>
    <w:uiPriority w:val="39"/>
    <w:unhideWhenUsed/>
    <w:pPr>
      <w:pBdr/>
      <w:spacing w:after="100"/>
      <w:ind/>
    </w:pPr>
  </w:style>
  <w:style w:type="paragraph" w:styleId="190">
    <w:name w:val="toc 2"/>
    <w:basedOn w:val="726"/>
    <w:next w:val="726"/>
    <w:uiPriority w:val="39"/>
    <w:unhideWhenUsed/>
    <w:pPr>
      <w:pBdr/>
      <w:spacing w:after="100"/>
      <w:ind w:left="220"/>
    </w:pPr>
  </w:style>
  <w:style w:type="paragraph" w:styleId="191">
    <w:name w:val="toc 3"/>
    <w:basedOn w:val="726"/>
    <w:next w:val="726"/>
    <w:uiPriority w:val="39"/>
    <w:unhideWhenUsed/>
    <w:pPr>
      <w:pBdr/>
      <w:spacing w:after="100"/>
      <w:ind w:left="440"/>
    </w:pPr>
  </w:style>
  <w:style w:type="paragraph" w:styleId="192">
    <w:name w:val="toc 4"/>
    <w:basedOn w:val="726"/>
    <w:next w:val="726"/>
    <w:uiPriority w:val="39"/>
    <w:unhideWhenUsed/>
    <w:pPr>
      <w:pBdr/>
      <w:spacing w:after="100"/>
      <w:ind w:left="660"/>
    </w:pPr>
  </w:style>
  <w:style w:type="paragraph" w:styleId="193">
    <w:name w:val="toc 5"/>
    <w:basedOn w:val="726"/>
    <w:next w:val="726"/>
    <w:uiPriority w:val="39"/>
    <w:unhideWhenUsed/>
    <w:pPr>
      <w:pBdr/>
      <w:spacing w:after="100"/>
      <w:ind w:left="880"/>
    </w:pPr>
  </w:style>
  <w:style w:type="paragraph" w:styleId="194">
    <w:name w:val="toc 6"/>
    <w:basedOn w:val="726"/>
    <w:next w:val="726"/>
    <w:uiPriority w:val="39"/>
    <w:unhideWhenUsed/>
    <w:pPr>
      <w:pBdr/>
      <w:spacing w:after="100"/>
      <w:ind w:left="1100"/>
    </w:pPr>
  </w:style>
  <w:style w:type="paragraph" w:styleId="195">
    <w:name w:val="toc 7"/>
    <w:basedOn w:val="726"/>
    <w:next w:val="726"/>
    <w:uiPriority w:val="39"/>
    <w:unhideWhenUsed/>
    <w:pPr>
      <w:pBdr/>
      <w:spacing w:after="100"/>
      <w:ind w:left="1320"/>
    </w:pPr>
  </w:style>
  <w:style w:type="paragraph" w:styleId="196">
    <w:name w:val="toc 8"/>
    <w:basedOn w:val="726"/>
    <w:next w:val="726"/>
    <w:uiPriority w:val="39"/>
    <w:unhideWhenUsed/>
    <w:pPr>
      <w:pBdr/>
      <w:spacing w:after="100"/>
      <w:ind w:left="1540"/>
    </w:pPr>
  </w:style>
  <w:style w:type="paragraph" w:styleId="197">
    <w:name w:val="toc 9"/>
    <w:basedOn w:val="726"/>
    <w:next w:val="72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6"/>
    <w:next w:val="726"/>
    <w:uiPriority w:val="99"/>
    <w:unhideWhenUsed/>
    <w:pPr>
      <w:pBdr/>
      <w:spacing w:after="0" w:afterAutospacing="0"/>
      <w:ind/>
    </w:pPr>
  </w:style>
  <w:style w:type="paragraph" w:styleId="726" w:default="1">
    <w:name w:val="Normal"/>
    <w:qFormat/>
    <w:pPr>
      <w:pBdr/>
      <w:spacing w:after="160" w:line="259" w:lineRule="auto"/>
      <w:ind/>
    </w:pPr>
    <w:rPr>
      <w:sz w:val="22"/>
      <w:szCs w:val="22"/>
      <w:lang w:eastAsia="en-US"/>
    </w:rPr>
  </w:style>
  <w:style w:type="character" w:styleId="727" w:default="1">
    <w:name w:val="Default Paragraph Font"/>
    <w:uiPriority w:val="1"/>
    <w:semiHidden/>
    <w:unhideWhenUsed/>
    <w:pPr>
      <w:pBdr/>
      <w:spacing/>
      <w:ind/>
    </w:pPr>
  </w:style>
  <w:style w:type="table" w:styleId="72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9" w:default="1">
    <w:name w:val="No List"/>
    <w:uiPriority w:val="99"/>
    <w:semiHidden/>
    <w:unhideWhenUsed/>
    <w:pPr>
      <w:pBdr/>
      <w:spacing/>
      <w:ind/>
    </w:pPr>
  </w:style>
  <w:style w:type="paragraph" w:styleId="730" w:customStyle="1">
    <w:name w:val="Nadpis 11"/>
    <w:basedOn w:val="726"/>
    <w:next w:val="726"/>
    <w:link w:val="731"/>
    <w:qFormat/>
    <w:pPr>
      <w:widowControl w:val="false"/>
      <w:pBdr/>
      <w:spacing w:after="0" w:line="240" w:lineRule="auto"/>
      <w:ind/>
      <w:jc w:val="center"/>
      <w:outlineLvl w:val="0"/>
    </w:pPr>
    <w:rPr>
      <w:rFonts w:ascii="Times New Roman" w:hAnsi="Times New Roman" w:eastAsia="Times New Roman"/>
      <w:b/>
      <w:sz w:val="24"/>
      <w:szCs w:val="20"/>
      <w:lang w:eastAsia="cs-CZ"/>
    </w:rPr>
  </w:style>
  <w:style w:type="character" w:styleId="731" w:customStyle="1">
    <w:name w:val="Nadpis 1 Char"/>
    <w:link w:val="730"/>
    <w:qFormat/>
    <w:pPr>
      <w:pBdr/>
      <w:spacing/>
      <w:ind/>
    </w:pPr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732" w:customStyle="1">
    <w:name w:val="Základní text Char"/>
    <w:link w:val="735"/>
    <w:qFormat/>
    <w:pPr>
      <w:pBdr/>
      <w:spacing/>
      <w:ind/>
    </w:pPr>
    <w:rPr>
      <w:rFonts w:ascii="Times New Roman" w:hAnsi="Times New Roman" w:eastAsia="Times New Roman" w:cs="Times New Roman"/>
      <w:b/>
      <w:sz w:val="20"/>
      <w:szCs w:val="20"/>
      <w:lang w:eastAsia="cs-CZ"/>
    </w:rPr>
  </w:style>
  <w:style w:type="character" w:styleId="733" w:customStyle="1">
    <w:name w:val="Symboly pro číslování"/>
    <w:qFormat/>
    <w:pPr>
      <w:pBdr/>
      <w:spacing/>
      <w:ind/>
    </w:pPr>
  </w:style>
  <w:style w:type="paragraph" w:styleId="734" w:customStyle="1">
    <w:name w:val="Nadpis"/>
    <w:basedOn w:val="726"/>
    <w:next w:val="73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35">
    <w:name w:val="Body Text"/>
    <w:basedOn w:val="726"/>
    <w:link w:val="732"/>
    <w:pPr>
      <w:widowControl w:val="false"/>
      <w:pBdr/>
      <w:spacing w:after="0" w:line="240" w:lineRule="auto"/>
      <w:ind/>
      <w:jc w:val="both"/>
    </w:pPr>
    <w:rPr>
      <w:rFonts w:ascii="Times New Roman" w:hAnsi="Times New Roman" w:eastAsia="Times New Roman"/>
      <w:b/>
      <w:sz w:val="20"/>
      <w:szCs w:val="20"/>
      <w:lang w:eastAsia="cs-CZ"/>
    </w:rPr>
  </w:style>
  <w:style w:type="paragraph" w:styleId="736">
    <w:name w:val="List"/>
    <w:basedOn w:val="735"/>
    <w:pPr>
      <w:pBdr/>
      <w:spacing/>
      <w:ind/>
    </w:pPr>
    <w:rPr>
      <w:rFonts w:cs="Arial"/>
    </w:rPr>
  </w:style>
  <w:style w:type="paragraph" w:styleId="737" w:customStyle="1">
    <w:name w:val="Titulek1"/>
    <w:basedOn w:val="72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38" w:customStyle="1">
    <w:name w:val="Rejstřík"/>
    <w:basedOn w:val="726"/>
    <w:qFormat/>
    <w:pPr>
      <w:suppressLineNumbers w:val="true"/>
      <w:pBdr/>
      <w:spacing/>
      <w:ind/>
    </w:pPr>
    <w:rPr>
      <w:rFonts w:cs="Arial"/>
    </w:rPr>
  </w:style>
  <w:style w:type="paragraph" w:styleId="739" w:customStyle="1">
    <w:name w:val="Unnamed"/>
    <w:basedOn w:val="726"/>
    <w:next w:val="740"/>
    <w:qFormat/>
    <w:pPr>
      <w:widowControl w:val="false"/>
      <w:pBdr/>
      <w:spacing w:after="120" w:before="120" w:line="240" w:lineRule="auto"/>
      <w:ind w:firstLine="600"/>
    </w:pPr>
    <w:rPr>
      <w:rFonts w:ascii="Times New Roman" w:hAnsi="Times New Roman" w:eastAsia="Times New Roman"/>
      <w:sz w:val="24"/>
      <w:szCs w:val="20"/>
      <w:lang w:eastAsia="cs-CZ"/>
    </w:rPr>
  </w:style>
  <w:style w:type="paragraph" w:styleId="740">
    <w:name w:val="Normal (Web)"/>
    <w:basedOn w:val="726"/>
    <w:uiPriority w:val="99"/>
    <w:semiHidden/>
    <w:unhideWhenUsed/>
    <w:qFormat/>
    <w:pPr>
      <w:pBdr/>
      <w:spacing/>
      <w:ind/>
    </w:pPr>
    <w:rPr>
      <w:rFonts w:ascii="Times New Roman" w:hAnsi="Times New Roman"/>
      <w:sz w:val="24"/>
      <w:szCs w:val="24"/>
    </w:rPr>
  </w:style>
  <w:style w:type="paragraph" w:styleId="741" w:customStyle="1">
    <w:name w:val="Odstavec"/>
    <w:basedOn w:val="735"/>
    <w:qFormat/>
    <w:pPr>
      <w:pBdr/>
      <w:spacing w:after="115" w:line="288" w:lineRule="auto"/>
      <w:ind w:firstLine="480"/>
      <w:jc w:val="left"/>
    </w:pPr>
    <w:rPr>
      <w:b w:val="0"/>
      <w:sz w:val="24"/>
    </w:rPr>
  </w:style>
  <w:style w:type="paragraph" w:styleId="742">
    <w:name w:val="annotation text"/>
    <w:basedOn w:val="726"/>
    <w:link w:val="743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743" w:customStyle="1">
    <w:name w:val="Text komentáře Char"/>
    <w:basedOn w:val="727"/>
    <w:link w:val="742"/>
    <w:uiPriority w:val="99"/>
    <w:semiHidden/>
    <w:pPr>
      <w:pBdr/>
      <w:spacing/>
      <w:ind/>
    </w:pPr>
    <w:rPr>
      <w:lang w:eastAsia="en-US"/>
    </w:rPr>
  </w:style>
  <w:style w:type="character" w:styleId="744">
    <w:name w:val="annotation reference"/>
    <w:basedOn w:val="72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45">
    <w:name w:val="Balloon Text"/>
    <w:basedOn w:val="726"/>
    <w:link w:val="746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746" w:customStyle="1">
    <w:name w:val="Text bubliny Char"/>
    <w:basedOn w:val="727"/>
    <w:link w:val="745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en-US"/>
    </w:rPr>
  </w:style>
  <w:style w:type="paragraph" w:styleId="747">
    <w:name w:val="Header"/>
    <w:basedOn w:val="726"/>
    <w:link w:val="748"/>
    <w:uiPriority w:val="99"/>
    <w:semiHidden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48" w:customStyle="1">
    <w:name w:val="Záhlaví Char"/>
    <w:basedOn w:val="727"/>
    <w:link w:val="747"/>
    <w:uiPriority w:val="99"/>
    <w:semiHidden/>
    <w:pPr>
      <w:pBdr/>
      <w:spacing/>
      <w:ind/>
    </w:pPr>
    <w:rPr>
      <w:sz w:val="22"/>
      <w:szCs w:val="22"/>
      <w:lang w:eastAsia="en-US"/>
    </w:rPr>
  </w:style>
  <w:style w:type="paragraph" w:styleId="749">
    <w:name w:val="Footer"/>
    <w:basedOn w:val="726"/>
    <w:link w:val="75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50" w:customStyle="1">
    <w:name w:val="Zápatí Char"/>
    <w:basedOn w:val="727"/>
    <w:link w:val="749"/>
    <w:uiPriority w:val="99"/>
    <w:pPr>
      <w:pBdr/>
      <w:spacing/>
      <w:ind/>
    </w:pPr>
    <w:rPr>
      <w:sz w:val="22"/>
      <w:szCs w:val="22"/>
      <w:lang w:eastAsia="en-US"/>
    </w:rPr>
  </w:style>
  <w:style w:type="paragraph" w:styleId="751">
    <w:name w:val="annotation subject"/>
    <w:basedOn w:val="742"/>
    <w:next w:val="742"/>
    <w:link w:val="752"/>
    <w:uiPriority w:val="99"/>
    <w:semiHidden/>
    <w:unhideWhenUsed/>
    <w:pPr>
      <w:pBdr/>
      <w:spacing/>
      <w:ind/>
    </w:pPr>
    <w:rPr>
      <w:b/>
      <w:bCs/>
    </w:rPr>
  </w:style>
  <w:style w:type="character" w:styleId="752" w:customStyle="1">
    <w:name w:val="Předmět komentáře Char"/>
    <w:basedOn w:val="743"/>
    <w:link w:val="751"/>
    <w:uiPriority w:val="99"/>
    <w:semiHidden/>
    <w:pPr>
      <w:pBdr/>
      <w:spacing/>
      <w:ind/>
    </w:pPr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>ČEZ ICT Services, a. s.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dc:language>cs-CZ</dc:language>
  <cp:lastModifiedBy>Anonymous</cp:lastModifiedBy>
  <cp:revision>9</cp:revision>
  <dcterms:created xsi:type="dcterms:W3CDTF">2022-09-07T11:33:00Z</dcterms:created>
  <dcterms:modified xsi:type="dcterms:W3CDTF">2026-04-27T11:26:29Z</dcterms:modified>
</cp:coreProperties>
</file>