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0"/>
        <w:pBdr/>
        <w:spacing/>
        <w:ind/>
        <w:rPr/>
      </w:pPr>
      <w:r>
        <w:t xml:space="preserve">Obec Horní Kněžeklady</w:t>
      </w:r>
      <w:r>
        <w:br/>
        <w:t xml:space="preserve">Zastupitelstvo obce Horní Kněžeklady</w:t>
      </w:r>
      <w:r/>
    </w:p>
    <w:p>
      <w:pPr>
        <w:pStyle w:val="799"/>
        <w:pBdr/>
        <w:spacing/>
        <w:ind/>
        <w:rPr/>
      </w:pPr>
      <w:r>
        <w:t xml:space="preserve">Obecně závazná vyhláška obce Horní Kněžeklady </w:t>
      </w:r>
      <w:r>
        <w:br/>
        <w:t xml:space="preserve">o místním poplatku za obecní systém odpadového hospodářství</w:t>
      </w:r>
      <w:r/>
    </w:p>
    <w:p>
      <w:pPr>
        <w:pStyle w:val="811"/>
        <w:pBdr/>
        <w:spacing/>
        <w:ind/>
        <w:rPr/>
      </w:pPr>
      <w:r>
        <w:t xml:space="preserve">Zastupitelstvo obce Horní Kněžeklady se na svém zasedání dne </w:t>
      </w:r>
      <w:r>
        <w:rPr>
          <w:b/>
        </w:rPr>
        <w:t xml:space="preserve">7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10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2024</w:t>
      </w:r>
      <w:r>
        <w:rPr>
          <w:b/>
        </w:rPr>
        <w:t xml:space="preserve"> </w:t>
      </w:r>
      <w:r>
        <w:rPr>
          <w:bCs/>
        </w:rPr>
        <w:t xml:space="preserve">usnesení</w:t>
      </w:r>
      <w:r>
        <w:rPr>
          <w:b/>
        </w:rPr>
        <w:t xml:space="preserve"> č. 140</w:t>
      </w:r>
      <w:r>
        <w:rPr>
          <w:b/>
        </w:rPr>
        <w:t xml:space="preserve">/</w:t>
      </w:r>
      <w:r>
        <w:rPr>
          <w:b/>
        </w:rPr>
        <w:t xml:space="preserve">7</w:t>
      </w:r>
      <w:r>
        <w:t xml:space="preserve"> usneslo vydat na základě § 14 zákona č. 565/1990 Sb., o místních poplatcích, </w:t>
      </w:r>
      <w:r>
        <w:t xml:space="preserve"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r/>
    </w:p>
    <w:p>
      <w:pPr>
        <w:pStyle w:val="800"/>
        <w:pBdr/>
        <w:spacing/>
        <w:ind/>
        <w:rPr/>
      </w:pPr>
      <w:r>
        <w:t xml:space="preserve">Čl. 1</w:t>
      </w:r>
      <w:r>
        <w:br/>
        <w:t xml:space="preserve">Úvodní ustanovení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Obec Horní Kněžeklady touto vyhláškou zavádí místní poplatek za obecní systém odpadového hospodářství (dále jen „poplatek“).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Poplatkovým obdobím poplatku je kalendářní rok</w:t>
      </w:r>
      <w:r>
        <w:rPr>
          <w:rStyle w:val="819"/>
        </w:rPr>
        <w:footnoteReference w:id="2"/>
      </w:r>
      <w:r>
        <w:t xml:space="preserve">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Správcem poplatku je obecní úřad</w:t>
      </w:r>
      <w:r>
        <w:rPr>
          <w:rStyle w:val="819"/>
        </w:rPr>
        <w:footnoteReference w:id="3"/>
      </w:r>
      <w:r>
        <w:t xml:space="preserve">.</w:t>
      </w:r>
      <w:r/>
    </w:p>
    <w:p>
      <w:pPr>
        <w:pStyle w:val="800"/>
        <w:pBdr/>
        <w:spacing/>
        <w:ind/>
        <w:rPr/>
      </w:pPr>
      <w:r>
        <w:t xml:space="preserve">Čl. 2</w:t>
      </w:r>
      <w:r>
        <w:br/>
        <w:t xml:space="preserve">Poplatník</w:t>
      </w:r>
      <w:r/>
    </w:p>
    <w:p>
      <w:pPr>
        <w:pStyle w:val="812"/>
        <w:numPr>
          <w:ilvl w:val="0"/>
          <w:numId w:val="2"/>
        </w:numPr>
        <w:pBdr/>
        <w:spacing/>
        <w:ind/>
        <w:rPr/>
      </w:pPr>
      <w:r>
        <w:t xml:space="preserve">Poplatníkem poplatku je</w:t>
      </w:r>
      <w:r>
        <w:rPr>
          <w:rStyle w:val="819"/>
        </w:rPr>
        <w:footnoteReference w:id="4"/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fyzická osoba přihlášená v obci</w:t>
      </w:r>
      <w:r>
        <w:rPr>
          <w:rStyle w:val="819"/>
        </w:rPr>
        <w:footnoteReference w:id="5"/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nebo vlastník nemovité věci zahrnující byt, rodinný dům nebo stavbu pro rodinnou rekreaci, ve které není přihlášená žádná fyzická osoba a která je umístěna na území obce.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Spoluvlastníci nemovité věci zahrnující byt, rodinný dům nebo stavbu pro rodinnou rekreaci jsou povinni plnit poplatkovou povinnost společně a nerozdílně</w:t>
      </w:r>
      <w:r>
        <w:rPr>
          <w:rStyle w:val="819"/>
        </w:rPr>
        <w:footnoteReference w:id="6"/>
      </w:r>
      <w:r>
        <w:t xml:space="preserve">.</w:t>
      </w:r>
      <w:r/>
    </w:p>
    <w:p>
      <w:pPr>
        <w:pStyle w:val="800"/>
        <w:pBdr/>
        <w:spacing/>
        <w:ind/>
        <w:rPr/>
      </w:pPr>
      <w:r>
        <w:t xml:space="preserve">Čl. 3</w:t>
      </w:r>
      <w:r>
        <w:br/>
        <w:t xml:space="preserve">Ohlašovací povinnost</w:t>
      </w:r>
      <w:r/>
    </w:p>
    <w:p>
      <w:pPr>
        <w:pStyle w:val="812"/>
        <w:numPr>
          <w:ilvl w:val="0"/>
          <w:numId w:val="3"/>
        </w:numPr>
        <w:pBdr/>
        <w:spacing/>
        <w:ind/>
        <w:rPr/>
      </w:pPr>
      <w:r>
        <w:t xml:space="preserve">Poplatník je povinen podat správci poplatku ohlášení nejpozději do 30 dnů ode dne vzniku své poplatkové povinnosti; údaje uváděné v ohlášení upravuje zákon</w:t>
      </w:r>
      <w:r>
        <w:rPr>
          <w:rStyle w:val="819"/>
        </w:rPr>
        <w:footnoteReference w:id="7"/>
      </w:r>
      <w:r>
        <w:t xml:space="preserve">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Dojde-li ke změně údajů uvedených v ohlášení, je poplatník povinen tuto změnu oznámit do 30 dnů ode dne, kdy nastala</w:t>
      </w:r>
      <w:r>
        <w:rPr>
          <w:rStyle w:val="819"/>
        </w:rPr>
        <w:footnoteReference w:id="8"/>
      </w:r>
      <w:r>
        <w:t xml:space="preserve">.</w:t>
      </w:r>
      <w:r/>
    </w:p>
    <w:p>
      <w:pPr>
        <w:pStyle w:val="800"/>
        <w:pBdr/>
        <w:spacing/>
        <w:ind/>
        <w:rPr/>
      </w:pPr>
      <w:r>
        <w:t xml:space="preserve">Čl. 4</w:t>
      </w:r>
      <w:r>
        <w:br/>
        <w:t xml:space="preserve">Sazba poplatku</w:t>
      </w:r>
      <w:r/>
    </w:p>
    <w:p>
      <w:pPr>
        <w:pStyle w:val="812"/>
        <w:numPr>
          <w:ilvl w:val="0"/>
          <w:numId w:val="4"/>
        </w:numPr>
        <w:pBdr/>
        <w:spacing/>
        <w:ind/>
        <w:rPr/>
      </w:pPr>
      <w:r>
        <w:t xml:space="preserve">Sazba p</w:t>
      </w:r>
      <w:r>
        <w:t xml:space="preserve">oplatku za kalendářní rok činí 5</w:t>
      </w:r>
      <w:r>
        <w:t xml:space="preserve">00 Kč.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Poplatek</w:t>
      </w:r>
      <w:r>
        <w:t xml:space="preserve"> se v případě, že poplatková povinnost vznikla z důvodu přihlášení fyzické osoby v obci, snižuje o jednu dvanáctinu za každý kalendářní měsíc, na jehož </w:t>
      </w:r>
      <w:r>
        <w:t xml:space="preserve">konci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není tato fyzická osoba přihlášena v obci,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nebo je tato fyzická osoba od poplatku osvobozena.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Poplatek</w:t>
      </w:r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>
        <w:t xml:space="preserve">konci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je v této nemovité věci přihlášena alespoň 1 fyzická osoba,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poplatník nevlastní tuto nemovitou věc,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nebo je poplatník od poplatku osvobozen.</w:t>
      </w:r>
      <w:r/>
    </w:p>
    <w:p>
      <w:pPr>
        <w:pStyle w:val="800"/>
        <w:pBdr/>
        <w:spacing/>
        <w:ind/>
        <w:rPr/>
      </w:pPr>
      <w:r>
        <w:t xml:space="preserve">Čl. 5</w:t>
      </w:r>
      <w:r>
        <w:br/>
        <w:t xml:space="preserve">Splatnost poplatku</w:t>
      </w:r>
      <w:r/>
    </w:p>
    <w:p>
      <w:pPr>
        <w:pStyle w:val="812"/>
        <w:numPr>
          <w:ilvl w:val="0"/>
          <w:numId w:val="5"/>
        </w:numPr>
        <w:pBdr/>
        <w:spacing/>
        <w:ind/>
        <w:rPr/>
      </w:pPr>
      <w:r>
        <w:t xml:space="preserve">Poplatek je splatný nejpozději do 31. července příslušného kalendářního roku.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Vznikne-li poplatková povinnost po datu splatnosti uvedeném v odstavci 1, je poplatek splatný nejpozději do patnáctého dne měsíce, který následuje po měsíci, ve kterém poplatková povinnost vznikla.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Lhůta splatnosti neskončí poplatníkovi dříve než lhůta pro podání ohlášení podle čl. 3 odst. 1 této vyhlášky.</w:t>
      </w:r>
      <w:r/>
    </w:p>
    <w:p>
      <w:pPr>
        <w:pStyle w:val="800"/>
        <w:pBdr/>
        <w:spacing/>
        <w:ind/>
        <w:rPr/>
      </w:pPr>
      <w:r>
        <w:t xml:space="preserve">Čl. 6</w:t>
      </w:r>
      <w:r>
        <w:br/>
        <w:t xml:space="preserve"> Osvobození</w:t>
      </w:r>
      <w:r/>
    </w:p>
    <w:p>
      <w:pPr>
        <w:pStyle w:val="812"/>
        <w:numPr>
          <w:ilvl w:val="0"/>
          <w:numId w:val="6"/>
        </w:numPr>
        <w:pBdr/>
        <w:spacing/>
        <w:ind/>
        <w:rPr/>
      </w:pPr>
      <w:r>
        <w:t xml:space="preserve">Od poplatku je osvobozena osoba, které poplatková povinnost vznikla z důvodu přihlášení v obci a která je</w:t>
      </w:r>
      <w:r>
        <w:rPr>
          <w:rStyle w:val="819"/>
        </w:rPr>
        <w:footnoteReference w:id="9"/>
      </w:r>
      <w:r>
        <w:t xml:space="preserve">: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poplatníkem poplatku za odkládání komunálního odpadu z nemovité věci v jiné obci a má v této jiné obci bydliště,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umístěna do dětského domova pro děti do 3 let věku, školského zařízení pro výkon ústavní nebo ochranné výchovy nebo školského zařízení pro preventivně výchovnou péči na základě rozhodnutí soudu nebo smlouvy,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umístěna do zařízení pro děti vyžadující okamžitou pomoc na základě rozhodnutí soudu, na žádost obecního úřadu obce s rozšířenou působností, zákonného zástupce dítěte nebo nezletilého,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umístěna v domově pro osoby se zdravotním postižením, domově pro seniory, domově se zvláštním režimem nebo v chráněném bydlení,</w:t>
      </w:r>
      <w:r/>
    </w:p>
    <w:p>
      <w:pPr>
        <w:pStyle w:val="812"/>
        <w:numPr>
          <w:ilvl w:val="1"/>
          <w:numId w:val="1"/>
        </w:numPr>
        <w:pBdr/>
        <w:spacing/>
        <w:ind/>
        <w:rPr/>
      </w:pPr>
      <w:r>
        <w:t xml:space="preserve">nebo na základě zákona omezena na osobní svobodě s výjimkou osoby vykonávající trest domácího vězení.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V případě, že poplatník nesplní povinnost ohlásit údaj rozhodný pro osvobození ve lhůtách stanovených touto vyhláškou nebo zákonem, nárok na osvobození zaniká</w:t>
      </w:r>
      <w:r>
        <w:rPr>
          <w:rStyle w:val="819"/>
        </w:rPr>
        <w:footnoteReference w:id="10"/>
      </w:r>
      <w:r>
        <w:t xml:space="preserve">.</w:t>
      </w:r>
      <w:r/>
    </w:p>
    <w:p>
      <w:pPr>
        <w:pStyle w:val="800"/>
        <w:pBdr/>
        <w:spacing/>
        <w:ind/>
        <w:rPr/>
      </w:pPr>
      <w:r>
        <w:t xml:space="preserve">Čl. 7</w:t>
      </w:r>
      <w:r>
        <w:br/>
        <w:t xml:space="preserve">Přechodné a zrušovací ustanovení</w:t>
      </w:r>
      <w:r/>
    </w:p>
    <w:p>
      <w:pPr>
        <w:pStyle w:val="812"/>
        <w:numPr>
          <w:ilvl w:val="0"/>
          <w:numId w:val="7"/>
        </w:numPr>
        <w:pBdr/>
        <w:spacing/>
        <w:ind/>
        <w:rPr/>
      </w:pPr>
      <w:r>
        <w:t xml:space="preserve">Poplatkové povinnosti vzniklé před nabytím účinnosti této vyhlášky se posuzují podle dosavadních právních předpisů.</w:t>
      </w:r>
      <w:r/>
    </w:p>
    <w:p>
      <w:pPr>
        <w:pStyle w:val="812"/>
        <w:numPr>
          <w:ilvl w:val="0"/>
          <w:numId w:val="1"/>
        </w:numPr>
        <w:pBdr/>
        <w:spacing/>
        <w:ind/>
        <w:rPr/>
      </w:pPr>
      <w:r>
        <w:t xml:space="preserve">Zrušuje</w:t>
      </w:r>
      <w:r>
        <w:t xml:space="preserve"> se obecně závazná vyhláška č. 2/2023</w:t>
      </w:r>
      <w:r>
        <w:t xml:space="preserve"> o místním poplatku za obecní systém odpadového hospodářství, ze dne </w:t>
      </w:r>
      <w:r>
        <w:t xml:space="preserve">1. ledna 2023</w:t>
      </w:r>
      <w:r>
        <w:t xml:space="preserve">.</w:t>
      </w:r>
      <w:r/>
    </w:p>
    <w:p>
      <w:pPr>
        <w:pStyle w:val="800"/>
        <w:pBdr/>
        <w:spacing/>
        <w:ind/>
        <w:rPr/>
      </w:pPr>
      <w:r>
        <w:t xml:space="preserve">Čl. 8</w:t>
      </w:r>
      <w:r>
        <w:br/>
        <w:t xml:space="preserve">Účinnost</w:t>
      </w:r>
      <w:r/>
    </w:p>
    <w:p>
      <w:pPr>
        <w:pStyle w:val="812"/>
        <w:pBdr/>
        <w:spacing/>
        <w:ind/>
        <w:rPr/>
      </w:pPr>
      <w:r>
        <w:t xml:space="preserve">Tato vyhláška nabývá účinnosti dnem </w:t>
      </w:r>
      <w:r>
        <w:t xml:space="preserve">1. ledna 2025</w:t>
      </w:r>
      <w:r>
        <w:t xml:space="preserve">.</w:t>
      </w:r>
      <w:r/>
    </w:p>
    <w:tbl>
      <w:tblPr>
        <w:tblInd w:w="45" w:type="dxa"/>
        <w:tblW w:w="9641" w:type="dxa"/>
        <w:tblCellMar>
          <w:left w:w="10" w:type="dxa"/>
          <w:right w:w="1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>
        <w:trPr>
          <w:trHeight w:val="1134" w:hRule="exact"/>
        </w:trPr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814"/>
              <w:pBdr/>
              <w:spacing/>
              <w:ind/>
              <w:rPr/>
            </w:pPr>
            <w:r>
              <w:t xml:space="preserve">Josef Drn v. r.</w:t>
            </w:r>
            <w:r>
              <w:br/>
              <w:t xml:space="preserve"> starosta</w:t>
            </w:r>
            <w:r/>
          </w:p>
        </w:tc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pStyle w:val="814"/>
              <w:pBdr/>
              <w:spacing/>
              <w:ind/>
              <w:rPr/>
            </w:pPr>
            <w:r>
              <w:t xml:space="preserve">Jitka Králová v. r.</w:t>
            </w:r>
            <w:r>
              <w:br/>
              <w:t xml:space="preserve"> místostarostka</w:t>
            </w:r>
            <w:r/>
          </w:p>
        </w:tc>
      </w:tr>
      <w:tr>
        <w:trPr>
          <w:trHeight w:val="1134" w:hRule="exact"/>
        </w:trPr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81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pStyle w:val="814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4" w:orient="portrait" w:w="11909"/>
      <w:pgMar w:top="1134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20B0809030403020204"/>
  </w:font>
  <w:font w:name="Songti SC">
    <w:panose1 w:val="020B0809030403020204"/>
  </w:font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10o odst. 1 zákona o místních poplatcích</w:t>
      </w:r>
      <w:r/>
    </w:p>
  </w:footnote>
  <w:footnote w:id="3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15 odst. 1 zákona o místních poplatcích</w:t>
      </w:r>
      <w:r/>
    </w:p>
  </w:footnote>
  <w:footnote w:id="4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10e zákona o místních poplatcích</w:t>
      </w:r>
      <w:r/>
    </w:p>
  </w:footnote>
  <w:footnote w:id="5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</w:t>
      </w:r>
      <w:r>
        <w:t xml:space="preserve">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</w:t>
      </w:r>
      <w:r>
        <w:t xml:space="preserve">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  <w:r/>
    </w:p>
  </w:footnote>
  <w:footnote w:id="6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10p zákona o místních poplatcích</w:t>
      </w:r>
      <w:r/>
    </w:p>
  </w:footnote>
  <w:footnote w:id="7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14a odst. 1 a 2 zákona o místních poplatcích; v ohlášení poplatník uvede zejména své identifikační údaje a skutečnosti rozhodné pro stanovení poplatku</w:t>
      </w:r>
      <w:r/>
    </w:p>
  </w:footnote>
  <w:footnote w:id="8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14a odst. 4 zákona o místních poplatcích</w:t>
      </w:r>
      <w:r/>
    </w:p>
  </w:footnote>
  <w:footnote w:id="9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10g zákona o místních poplatcích</w:t>
      </w:r>
      <w:r/>
    </w:p>
  </w:footnote>
  <w:footnote w:id="10">
    <w:p>
      <w:pPr>
        <w:pStyle w:val="815"/>
        <w:pBdr/>
        <w:spacing/>
        <w:ind/>
        <w:rPr/>
      </w:pPr>
      <w:r>
        <w:rPr>
          <w:rStyle w:val="819"/>
        </w:rPr>
        <w:footnoteRef/>
      </w:r>
      <w:r>
        <w:t xml:space="preserve">§ 14a odst. 6 zákona o místních poplatcích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B61B7"/>
    <w:lvl w:ilvl="0">
      <w:isLgl w:val="false"/>
      <w:lvlJc w:val="left"/>
      <w:lvlText w:val="(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(%3)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(%5)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(%7)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(%8)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(%9)"/>
      <w:numFmt w:val="decimal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cs-CZ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798"/>
    <w:next w:val="79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98"/>
    <w:next w:val="79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98"/>
    <w:next w:val="79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98"/>
    <w:next w:val="79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98"/>
    <w:next w:val="79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98"/>
    <w:next w:val="79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98"/>
    <w:next w:val="79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01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01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01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98"/>
    <w:next w:val="79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98"/>
    <w:next w:val="79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9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98"/>
    <w:next w:val="79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9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9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801"/>
    <w:link w:val="176"/>
    <w:uiPriority w:val="99"/>
    <w:pPr>
      <w:pBdr/>
      <w:spacing/>
      <w:ind/>
    </w:pPr>
  </w:style>
  <w:style w:type="paragraph" w:styleId="178">
    <w:name w:val="Footer"/>
    <w:basedOn w:val="79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801"/>
    <w:link w:val="178"/>
    <w:uiPriority w:val="99"/>
    <w:pPr>
      <w:pBdr/>
      <w:spacing/>
      <w:ind/>
    </w:pPr>
  </w:style>
  <w:style w:type="paragraph" w:styleId="181">
    <w:name w:val="footnote text"/>
    <w:basedOn w:val="79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01"/>
    <w:link w:val="181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190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191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192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193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194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195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196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197">
    <w:name w:val="toc 9"/>
    <w:basedOn w:val="798"/>
    <w:next w:val="79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98"/>
    <w:next w:val="798"/>
    <w:uiPriority w:val="99"/>
    <w:unhideWhenUsed/>
    <w:pPr>
      <w:pBdr/>
      <w:spacing w:after="0" w:afterAutospacing="0"/>
      <w:ind/>
    </w:pPr>
  </w:style>
  <w:style w:type="paragraph" w:styleId="798" w:default="1">
    <w:name w:val="Normal"/>
    <w:pPr>
      <w:pBdr/>
      <w:spacing/>
      <w:ind/>
    </w:pPr>
  </w:style>
  <w:style w:type="paragraph" w:styleId="799">
    <w:name w:val="Heading 1"/>
    <w:basedOn w:val="805"/>
    <w:next w:val="806"/>
    <w:pPr>
      <w:pBdr/>
      <w:spacing w:after="238" w:before="238"/>
      <w:ind/>
      <w:jc w:val="center"/>
      <w:outlineLvl w:val="0"/>
    </w:pPr>
    <w:rPr>
      <w:b/>
      <w:bCs/>
      <w:sz w:val="24"/>
      <w:szCs w:val="24"/>
    </w:rPr>
  </w:style>
  <w:style w:type="paragraph" w:styleId="800">
    <w:name w:val="Heading 2"/>
    <w:basedOn w:val="805"/>
    <w:next w:val="806"/>
    <w:pPr>
      <w:pBdr/>
      <w:spacing w:after="0" w:before="360" w:line="276" w:lineRule="auto"/>
      <w:ind/>
      <w:jc w:val="center"/>
      <w:outlineLvl w:val="1"/>
    </w:pPr>
    <w:rPr>
      <w:b/>
      <w:bCs/>
      <w:sz w:val="24"/>
      <w:szCs w:val="24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paragraph" w:styleId="804" w:customStyle="1">
    <w:name w:val="Standard"/>
    <w:pPr>
      <w:pBdr/>
      <w:spacing/>
      <w:ind/>
    </w:pPr>
  </w:style>
  <w:style w:type="paragraph" w:styleId="805" w:customStyle="1">
    <w:name w:val="Heading"/>
    <w:basedOn w:val="804"/>
    <w:next w:val="806"/>
    <w:pPr>
      <w:keepNext w:val="true"/>
      <w:pBdr/>
      <w:spacing w:after="120" w:before="240"/>
      <w:ind/>
    </w:pPr>
    <w:rPr>
      <w:rFonts w:ascii="Arial" w:hAnsi="Arial" w:eastAsia="PingFang SC" w:cs="Arial"/>
      <w:sz w:val="28"/>
      <w:szCs w:val="28"/>
    </w:rPr>
  </w:style>
  <w:style w:type="paragraph" w:styleId="806" w:customStyle="1">
    <w:name w:val="Text body"/>
    <w:basedOn w:val="804"/>
    <w:pPr>
      <w:pBdr/>
      <w:spacing w:after="140" w:line="276" w:lineRule="auto"/>
      <w:ind/>
    </w:pPr>
    <w:rPr>
      <w:rFonts w:ascii="Arial" w:hAnsi="Arial" w:eastAsia="Arial" w:cs="Arial"/>
    </w:rPr>
  </w:style>
  <w:style w:type="paragraph" w:styleId="807">
    <w:name w:val="List"/>
    <w:basedOn w:val="806"/>
    <w:pPr>
      <w:pBdr/>
      <w:spacing/>
      <w:ind/>
    </w:pPr>
  </w:style>
  <w:style w:type="paragraph" w:styleId="808">
    <w:name w:val="Caption"/>
    <w:basedOn w:val="804"/>
    <w:pPr>
      <w:suppressLineNumbers w:val="true"/>
      <w:pBdr/>
      <w:spacing w:after="120" w:before="120"/>
      <w:ind/>
    </w:pPr>
    <w:rPr>
      <w:i/>
      <w:iCs/>
    </w:rPr>
  </w:style>
  <w:style w:type="paragraph" w:styleId="809" w:customStyle="1">
    <w:name w:val="Index"/>
    <w:basedOn w:val="804"/>
    <w:pPr>
      <w:suppressLineNumbers w:val="true"/>
      <w:pBdr/>
      <w:spacing/>
      <w:ind/>
    </w:pPr>
  </w:style>
  <w:style w:type="paragraph" w:styleId="810">
    <w:name w:val="Title"/>
    <w:basedOn w:val="805"/>
    <w:next w:val="806"/>
    <w:pPr>
      <w:pBdr/>
      <w:spacing/>
      <w:ind/>
      <w:jc w:val="center"/>
    </w:pPr>
    <w:rPr>
      <w:b/>
      <w:bCs/>
      <w:sz w:val="24"/>
      <w:szCs w:val="24"/>
    </w:rPr>
  </w:style>
  <w:style w:type="paragraph" w:styleId="811" w:customStyle="1">
    <w:name w:val="UvodniVeta"/>
    <w:basedOn w:val="806"/>
    <w:pPr>
      <w:pBdr/>
      <w:spacing w:after="120" w:before="62"/>
      <w:ind/>
      <w:jc w:val="both"/>
    </w:pPr>
    <w:rPr>
      <w:sz w:val="22"/>
      <w:szCs w:val="22"/>
    </w:rPr>
  </w:style>
  <w:style w:type="paragraph" w:styleId="812" w:customStyle="1">
    <w:name w:val="Odstavec"/>
    <w:basedOn w:val="806"/>
    <w:pPr>
      <w:pBdr/>
      <w:tabs>
        <w:tab w:val="left" w:leader="none" w:pos="567"/>
      </w:tabs>
      <w:spacing w:after="120"/>
      <w:ind/>
      <w:jc w:val="both"/>
    </w:pPr>
    <w:rPr>
      <w:sz w:val="22"/>
      <w:szCs w:val="22"/>
    </w:rPr>
  </w:style>
  <w:style w:type="paragraph" w:styleId="813" w:customStyle="1">
    <w:name w:val="Table Contents"/>
    <w:basedOn w:val="804"/>
    <w:pPr>
      <w:widowControl w:val="false"/>
      <w:suppressLineNumbers w:val="true"/>
      <w:pBdr/>
      <w:spacing/>
      <w:ind/>
    </w:pPr>
  </w:style>
  <w:style w:type="paragraph" w:styleId="814" w:customStyle="1">
    <w:name w:val="PodpisovePole"/>
    <w:basedOn w:val="813"/>
    <w:pPr>
      <w:pBdr/>
      <w:spacing/>
      <w:ind/>
      <w:jc w:val="center"/>
    </w:pPr>
    <w:rPr>
      <w:rFonts w:ascii="Arial" w:hAnsi="Arial" w:eastAsia="Arial" w:cs="Arial"/>
      <w:sz w:val="22"/>
      <w:szCs w:val="22"/>
    </w:rPr>
  </w:style>
  <w:style w:type="paragraph" w:styleId="815" w:customStyle="1">
    <w:name w:val="Footnote"/>
    <w:basedOn w:val="804"/>
    <w:pPr>
      <w:suppressLineNumbers w:val="true"/>
      <w:pBdr/>
      <w:spacing/>
      <w:ind w:hanging="170" w:left="170"/>
    </w:pPr>
    <w:rPr>
      <w:rFonts w:ascii="Arial" w:hAnsi="Arial" w:eastAsia="Arial" w:cs="Arial"/>
      <w:sz w:val="18"/>
      <w:szCs w:val="18"/>
    </w:rPr>
  </w:style>
  <w:style w:type="character" w:styleId="816" w:customStyle="1">
    <w:name w:val="Numbering Symbols"/>
    <w:pPr>
      <w:pBdr/>
      <w:spacing/>
      <w:ind/>
    </w:pPr>
  </w:style>
  <w:style w:type="character" w:styleId="817" w:customStyle="1">
    <w:name w:val="Footnote Symbol"/>
    <w:pPr>
      <w:pBdr/>
      <w:spacing/>
      <w:ind/>
    </w:pPr>
  </w:style>
  <w:style w:type="character" w:styleId="818" w:customStyle="1">
    <w:name w:val="Footnote anchor"/>
    <w:pPr>
      <w:pBdr/>
      <w:spacing/>
      <w:ind/>
    </w:pPr>
    <w:rPr>
      <w:position w:val="0"/>
      <w:vertAlign w:val="superscript"/>
    </w:rPr>
  </w:style>
  <w:style w:type="character" w:styleId="819">
    <w:name w:val="footnote reference"/>
    <w:basedOn w:val="801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Anonymous</cp:lastModifiedBy>
  <cp:revision>5</cp:revision>
  <dcterms:created xsi:type="dcterms:W3CDTF">2024-10-06T13:18:00Z</dcterms:created>
  <dcterms:modified xsi:type="dcterms:W3CDTF">2026-04-27T11:06:18Z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2023-11-20T13:06:56Z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c9e39b35-ced5-4cc5-9dda-062d7aaa32e4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